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B37" w:rsidRDefault="00C82B37" w:rsidP="00C82B37"/>
    <w:p w:rsidR="00C82B37" w:rsidRDefault="00C82B37" w:rsidP="00C82B37">
      <w:pPr>
        <w:rPr>
          <w:color w:val="1F497D"/>
        </w:rPr>
      </w:pPr>
      <w:bookmarkStart w:id="0" w:name="_GoBack"/>
      <w:bookmarkEnd w:id="0"/>
      <w:r>
        <w:rPr>
          <w:color w:val="1F497D"/>
        </w:rPr>
        <w:t>Below is a detailed explanation of how the new scoring will be done</w:t>
      </w:r>
    </w:p>
    <w:p w:rsidR="00C82B37" w:rsidRDefault="00C82B37" w:rsidP="00C82B37">
      <w:pPr>
        <w:rPr>
          <w:color w:val="1F497D"/>
        </w:rPr>
      </w:pPr>
      <w:r>
        <w:rPr>
          <w:color w:val="1F497D"/>
        </w:rPr>
        <w:t>The scoring is done by the progression of a few simple steps</w:t>
      </w:r>
    </w:p>
    <w:p w:rsidR="00C82B37" w:rsidRDefault="00C82B37" w:rsidP="00C82B37">
      <w:pPr>
        <w:rPr>
          <w:color w:val="1F497D"/>
        </w:rPr>
      </w:pPr>
    </w:p>
    <w:p w:rsidR="00C82B37" w:rsidRDefault="00C82B37" w:rsidP="00C82B37">
      <w:pPr>
        <w:rPr>
          <w:rFonts w:ascii="Trebuchet MS" w:hAnsi="Trebuchet MS"/>
          <w:b/>
          <w:bCs/>
          <w:i/>
          <w:iCs/>
          <w:color w:val="1F497D"/>
        </w:rPr>
      </w:pPr>
      <w:r>
        <w:rPr>
          <w:rFonts w:ascii="Trebuchet MS" w:hAnsi="Trebuchet MS"/>
          <w:b/>
          <w:bCs/>
          <w:i/>
          <w:iCs/>
          <w:color w:val="1F497D"/>
          <w:sz w:val="36"/>
          <w:szCs w:val="36"/>
        </w:rPr>
        <w:t>First Step: Normalizing</w:t>
      </w:r>
    </w:p>
    <w:p w:rsidR="00C82B37" w:rsidRDefault="00C82B37" w:rsidP="00C82B37">
      <w:pPr>
        <w:rPr>
          <w:color w:val="1F497D"/>
        </w:rPr>
      </w:pPr>
    </w:p>
    <w:p w:rsidR="00C82B37" w:rsidRDefault="00C82B37" w:rsidP="00C82B37">
      <w:pPr>
        <w:rPr>
          <w:color w:val="1F497D"/>
        </w:rPr>
      </w:pPr>
      <w:r>
        <w:rPr>
          <w:color w:val="1F497D"/>
        </w:rPr>
        <w:t>The vertical ceiling for all classes and/or sub classes in the V9R03 is 110%-</w:t>
      </w:r>
    </w:p>
    <w:p w:rsidR="00C82B37" w:rsidRDefault="00C82B37" w:rsidP="00C82B37">
      <w:pPr>
        <w:rPr>
          <w:color w:val="1F497D"/>
        </w:rPr>
      </w:pPr>
      <w:r>
        <w:rPr>
          <w:color w:val="1F497D"/>
        </w:rPr>
        <w:t>The below table shows the breakdown distribution of such scoring</w:t>
      </w:r>
    </w:p>
    <w:p w:rsidR="00C82B37" w:rsidRDefault="00C82B37" w:rsidP="00C82B37">
      <w:pPr>
        <w:rPr>
          <w:color w:val="1F497D"/>
        </w:rPr>
      </w:pPr>
    </w:p>
    <w:tbl>
      <w:tblPr>
        <w:tblW w:w="9620" w:type="dxa"/>
        <w:tblInd w:w="-23" w:type="dxa"/>
        <w:tblCellMar>
          <w:left w:w="0" w:type="dxa"/>
          <w:right w:w="0" w:type="dxa"/>
        </w:tblCellMar>
        <w:tblLook w:val="04A0" w:firstRow="1" w:lastRow="0" w:firstColumn="1" w:lastColumn="0" w:noHBand="0" w:noVBand="1"/>
      </w:tblPr>
      <w:tblGrid>
        <w:gridCol w:w="1160"/>
        <w:gridCol w:w="1540"/>
        <w:gridCol w:w="4960"/>
        <w:gridCol w:w="1960"/>
      </w:tblGrid>
      <w:tr w:rsidR="00C82B37" w:rsidTr="00C82B37">
        <w:trPr>
          <w:trHeight w:val="630"/>
        </w:trPr>
        <w:tc>
          <w:tcPr>
            <w:tcW w:w="1160" w:type="dxa"/>
            <w:tcBorders>
              <w:top w:val="single" w:sz="8" w:space="0" w:color="auto"/>
              <w:left w:val="single" w:sz="8" w:space="0" w:color="auto"/>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Vertical Ceiling Group</w:t>
            </w:r>
          </w:p>
        </w:tc>
        <w:tc>
          <w:tcPr>
            <w:tcW w:w="154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Class</w:t>
            </w:r>
          </w:p>
        </w:tc>
        <w:tc>
          <w:tcPr>
            <w:tcW w:w="4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Sub-Class</w:t>
            </w:r>
          </w:p>
        </w:tc>
        <w:tc>
          <w:tcPr>
            <w:tcW w:w="1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Old Vertical Ceiling</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Meter &amp; Main Breaker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5.00%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GEDP</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12.00%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Surge Arrestor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4</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DC Boxes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5.00%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5</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Rectifiers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6</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Batteries / UPS / Stabilizer / Transformer / Solar Cells (PV)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5.00%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7</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Cooling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A/Cs Cooling / Free Cooling / Ventilation</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12.00%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8</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Fire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Fire Alarm and Fighting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7.00%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Shelter Body / Main Enclosure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Pylon / Palm Tree / Monopole / Masts / Side Arms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7.00%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Fence / Roof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7.00%</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Generator</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ATS / Engine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10.00%</w:t>
            </w:r>
          </w:p>
        </w:tc>
      </w:tr>
    </w:tbl>
    <w:p w:rsidR="00C82B37" w:rsidRDefault="00C82B37" w:rsidP="00C82B37">
      <w:pPr>
        <w:rPr>
          <w:color w:val="1F497D"/>
        </w:rPr>
      </w:pPr>
    </w:p>
    <w:p w:rsidR="00C82B37" w:rsidRDefault="00C82B37" w:rsidP="00C82B37">
      <w:pPr>
        <w:rPr>
          <w:color w:val="1F497D"/>
        </w:rPr>
      </w:pPr>
      <m:oMathPara>
        <m:oMathParaPr>
          <m:jc m:val="left"/>
        </m:oMathParaPr>
        <m:oMath>
          <m:nary>
            <m:naryPr>
              <m:chr m:val="∑"/>
              <m:limLoc m:val="undOvr"/>
              <m:ctrlPr>
                <w:rPr>
                  <w:rFonts w:ascii="Cambria Math" w:hAnsi="Cambria Math"/>
                  <w:i/>
                  <w:iCs/>
                  <w:color w:val="1F497D"/>
                </w:rPr>
              </m:ctrlPr>
            </m:naryPr>
            <m:sub>
              <m:r>
                <w:rPr>
                  <w:rFonts w:ascii="Cambria Math" w:hAnsi="Cambria Math"/>
                  <w:color w:val="1F497D"/>
                </w:rPr>
                <m:t>n=1</m:t>
              </m:r>
            </m:sub>
            <m:sup>
              <m:r>
                <w:rPr>
                  <w:rFonts w:ascii="Cambria Math" w:hAnsi="Cambria Math"/>
                  <w:color w:val="1F497D"/>
                </w:rPr>
                <m:t>13</m:t>
              </m:r>
            </m:sup>
            <m:e>
              <m:sSub>
                <m:sSubPr>
                  <m:ctrlPr>
                    <w:rPr>
                      <w:rFonts w:ascii="Cambria Math" w:hAnsi="Cambria Math"/>
                      <w:i/>
                      <w:iCs/>
                      <w:color w:val="1F497D"/>
                    </w:rPr>
                  </m:ctrlPr>
                </m:sSubPr>
                <m:e>
                  <m:d>
                    <m:dPr>
                      <m:ctrlPr>
                        <w:rPr>
                          <w:rFonts w:ascii="Cambria Math" w:hAnsi="Cambria Math"/>
                          <w:i/>
                          <w:iCs/>
                          <w:color w:val="1F497D"/>
                        </w:rPr>
                      </m:ctrlPr>
                    </m:dPr>
                    <m:e>
                      <m:r>
                        <w:rPr>
                          <w:rFonts w:ascii="Cambria Math" w:hAnsi="Cambria Math"/>
                          <w:color w:val="1F497D"/>
                        </w:rPr>
                        <m:t>Old Vertical Ceiling</m:t>
                      </m:r>
                    </m:e>
                  </m:d>
                </m:e>
                <m:sub>
                  <m:r>
                    <w:rPr>
                      <w:rFonts w:ascii="Cambria Math" w:hAnsi="Cambria Math"/>
                      <w:color w:val="1F497D"/>
                    </w:rPr>
                    <m:t>n</m:t>
                  </m:r>
                </m:sub>
              </m:sSub>
              <m:r>
                <w:rPr>
                  <w:rFonts w:ascii="Cambria Math" w:hAnsi="Cambria Math"/>
                  <w:color w:val="1F497D"/>
                </w:rPr>
                <m:t>=110%</m:t>
              </m:r>
            </m:e>
          </m:nary>
        </m:oMath>
      </m:oMathPara>
    </w:p>
    <w:p w:rsidR="00C82B37" w:rsidRDefault="00C82B37" w:rsidP="00C82B37">
      <w:pPr>
        <w:rPr>
          <w:color w:val="1F497D"/>
        </w:rPr>
      </w:pPr>
    </w:p>
    <w:p w:rsidR="00C82B37" w:rsidRDefault="00C82B37" w:rsidP="00C82B37">
      <w:pPr>
        <w:rPr>
          <w:color w:val="1F497D"/>
        </w:rPr>
      </w:pPr>
    </w:p>
    <w:p w:rsidR="00C82B37" w:rsidRDefault="00C82B37" w:rsidP="00C82B37">
      <w:pPr>
        <w:rPr>
          <w:color w:val="1F497D"/>
        </w:rPr>
      </w:pPr>
      <w:r>
        <w:rPr>
          <w:color w:val="1F497D"/>
        </w:rPr>
        <w:t>So, we will multiply each ceiling by (100/110) in order to let the sum of all vertical groups = 100%</w:t>
      </w:r>
    </w:p>
    <w:p w:rsidR="00C82B37" w:rsidRDefault="00C82B37" w:rsidP="00C82B37">
      <w:pPr>
        <w:rPr>
          <w:color w:val="1F497D"/>
        </w:rPr>
      </w:pPr>
    </w:p>
    <w:p w:rsidR="00C82B37" w:rsidRDefault="00C82B37" w:rsidP="00C82B37">
      <w:pPr>
        <w:rPr>
          <w:color w:val="1F497D"/>
        </w:rPr>
      </w:pPr>
      <m:oMathPara>
        <m:oMathParaPr>
          <m:jc m:val="left"/>
        </m:oMathParaPr>
        <m:oMath>
          <m:r>
            <w:rPr>
              <w:rFonts w:ascii="Cambria Math" w:hAnsi="Cambria Math"/>
              <w:color w:val="1F497D"/>
            </w:rPr>
            <m:t xml:space="preserve">New Vertical Ceiling=Old Vertical Ceiling× </m:t>
          </m:r>
          <m:f>
            <m:fPr>
              <m:ctrlPr>
                <w:rPr>
                  <w:rFonts w:ascii="Cambria Math" w:hAnsi="Cambria Math"/>
                  <w:i/>
                  <w:iCs/>
                  <w:color w:val="1F497D"/>
                </w:rPr>
              </m:ctrlPr>
            </m:fPr>
            <m:num>
              <m:r>
                <w:rPr>
                  <w:rFonts w:ascii="Cambria Math" w:hAnsi="Cambria Math"/>
                  <w:color w:val="1F497D"/>
                </w:rPr>
                <m:t>100</m:t>
              </m:r>
            </m:num>
            <m:den>
              <m:r>
                <w:rPr>
                  <w:rFonts w:ascii="Cambria Math" w:hAnsi="Cambria Math"/>
                  <w:color w:val="1F497D"/>
                </w:rPr>
                <m:t>110</m:t>
              </m:r>
            </m:den>
          </m:f>
        </m:oMath>
      </m:oMathPara>
    </w:p>
    <w:p w:rsidR="00C82B37" w:rsidRDefault="00C82B37" w:rsidP="00C82B37">
      <w:pPr>
        <w:rPr>
          <w:color w:val="1F497D"/>
        </w:rPr>
      </w:pPr>
    </w:p>
    <w:p w:rsidR="00C82B37" w:rsidRDefault="00C82B37" w:rsidP="00C82B37">
      <w:pPr>
        <w:rPr>
          <w:color w:val="1F497D"/>
        </w:rPr>
      </w:pPr>
      <w:r>
        <w:rPr>
          <w:color w:val="1F497D"/>
        </w:rPr>
        <w:t>This will lead to the following table</w:t>
      </w:r>
    </w:p>
    <w:p w:rsidR="00C82B37" w:rsidRDefault="00C82B37" w:rsidP="00C82B37">
      <w:pPr>
        <w:rPr>
          <w:color w:val="1F497D"/>
        </w:rPr>
      </w:pPr>
    </w:p>
    <w:tbl>
      <w:tblPr>
        <w:tblW w:w="9620" w:type="dxa"/>
        <w:tblInd w:w="-23" w:type="dxa"/>
        <w:tblCellMar>
          <w:left w:w="0" w:type="dxa"/>
          <w:right w:w="0" w:type="dxa"/>
        </w:tblCellMar>
        <w:tblLook w:val="04A0" w:firstRow="1" w:lastRow="0" w:firstColumn="1" w:lastColumn="0" w:noHBand="0" w:noVBand="1"/>
      </w:tblPr>
      <w:tblGrid>
        <w:gridCol w:w="1160"/>
        <w:gridCol w:w="1540"/>
        <w:gridCol w:w="4960"/>
        <w:gridCol w:w="1960"/>
      </w:tblGrid>
      <w:tr w:rsidR="00C82B37" w:rsidTr="00C82B37">
        <w:trPr>
          <w:trHeight w:val="630"/>
        </w:trPr>
        <w:tc>
          <w:tcPr>
            <w:tcW w:w="1160" w:type="dxa"/>
            <w:tcBorders>
              <w:top w:val="single" w:sz="8" w:space="0" w:color="auto"/>
              <w:left w:val="single" w:sz="8" w:space="0" w:color="auto"/>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Vertical Ceiling Group</w:t>
            </w:r>
          </w:p>
        </w:tc>
        <w:tc>
          <w:tcPr>
            <w:tcW w:w="154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Class</w:t>
            </w:r>
          </w:p>
        </w:tc>
        <w:tc>
          <w:tcPr>
            <w:tcW w:w="4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Sub-Class</w:t>
            </w:r>
          </w:p>
        </w:tc>
        <w:tc>
          <w:tcPr>
            <w:tcW w:w="1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New Vertical Ceiling</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Meter &amp; Main Breaker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4.55%</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GEDP</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10.91%</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Surge Arrestor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4</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DC Boxes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4.55%</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lastRenderedPageBreak/>
              <w:t>5</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Rectifiers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6</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Batteries / UPS / Stabilizer / Transformer / Solar Cells (PV)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4.55%</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7</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Cooling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A/Cs Cooling / Free Cooling / Ventilation</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10.91%</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8</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Fire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Fire Alarm and Fighting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6.36%</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10</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Shelter Body / Main Enclosure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Pylon / Palm Tree / Monopole / Masts / Side Arms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6.36%</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Fence / Roof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6.36%</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13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Generator</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ATS / Engine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9.09%</w:t>
            </w:r>
          </w:p>
        </w:tc>
      </w:tr>
    </w:tbl>
    <w:p w:rsidR="00C82B37" w:rsidRDefault="00C82B37" w:rsidP="00C82B37">
      <w:pPr>
        <w:rPr>
          <w:color w:val="1F497D"/>
        </w:rPr>
      </w:pPr>
    </w:p>
    <w:p w:rsidR="00C82B37" w:rsidRDefault="00C82B37" w:rsidP="00C82B37">
      <w:pPr>
        <w:rPr>
          <w:color w:val="1F497D"/>
        </w:rPr>
      </w:pPr>
    </w:p>
    <w:p w:rsidR="00C82B37" w:rsidRDefault="00C82B37" w:rsidP="00C82B37">
      <w:pPr>
        <w:rPr>
          <w:color w:val="1F497D"/>
        </w:rPr>
      </w:pPr>
      <m:oMathPara>
        <m:oMathParaPr>
          <m:jc m:val="left"/>
        </m:oMathParaPr>
        <m:oMath>
          <m:nary>
            <m:naryPr>
              <m:chr m:val="∑"/>
              <m:limLoc m:val="undOvr"/>
              <m:ctrlPr>
                <w:rPr>
                  <w:rFonts w:ascii="Cambria Math" w:hAnsi="Cambria Math"/>
                  <w:i/>
                  <w:iCs/>
                  <w:color w:val="1F497D"/>
                </w:rPr>
              </m:ctrlPr>
            </m:naryPr>
            <m:sub>
              <m:r>
                <w:rPr>
                  <w:rFonts w:ascii="Cambria Math" w:hAnsi="Cambria Math"/>
                  <w:color w:val="1F497D"/>
                </w:rPr>
                <m:t>n=1</m:t>
              </m:r>
            </m:sub>
            <m:sup>
              <m:r>
                <w:rPr>
                  <w:rFonts w:ascii="Cambria Math" w:hAnsi="Cambria Math"/>
                  <w:color w:val="1F497D"/>
                </w:rPr>
                <m:t>13</m:t>
              </m:r>
            </m:sup>
            <m:e>
              <m:sSub>
                <m:sSubPr>
                  <m:ctrlPr>
                    <w:rPr>
                      <w:rFonts w:ascii="Cambria Math" w:hAnsi="Cambria Math"/>
                      <w:i/>
                      <w:iCs/>
                      <w:color w:val="1F497D"/>
                    </w:rPr>
                  </m:ctrlPr>
                </m:sSubPr>
                <m:e>
                  <m:d>
                    <m:dPr>
                      <m:ctrlPr>
                        <w:rPr>
                          <w:rFonts w:ascii="Cambria Math" w:hAnsi="Cambria Math"/>
                          <w:i/>
                          <w:iCs/>
                          <w:color w:val="1F497D"/>
                        </w:rPr>
                      </m:ctrlPr>
                    </m:dPr>
                    <m:e>
                      <m:r>
                        <w:rPr>
                          <w:rFonts w:ascii="Cambria Math" w:hAnsi="Cambria Math"/>
                          <w:color w:val="1F497D"/>
                        </w:rPr>
                        <m:t>New Vertical Ceiling</m:t>
                      </m:r>
                    </m:e>
                  </m:d>
                </m:e>
                <m:sub>
                  <m:r>
                    <w:rPr>
                      <w:rFonts w:ascii="Cambria Math" w:hAnsi="Cambria Math"/>
                      <w:color w:val="1F497D"/>
                    </w:rPr>
                    <m:t>n</m:t>
                  </m:r>
                </m:sub>
              </m:sSub>
              <m:r>
                <w:rPr>
                  <w:rFonts w:ascii="Cambria Math" w:hAnsi="Cambria Math"/>
                  <w:color w:val="1F497D"/>
                </w:rPr>
                <m:t>=100%</m:t>
              </m:r>
            </m:e>
          </m:nary>
        </m:oMath>
      </m:oMathPara>
    </w:p>
    <w:p w:rsidR="00C82B37" w:rsidRDefault="00C82B37" w:rsidP="00C82B37">
      <w:pPr>
        <w:rPr>
          <w:color w:val="1F497D"/>
        </w:rPr>
      </w:pPr>
    </w:p>
    <w:p w:rsidR="00C82B37" w:rsidRDefault="00C82B37" w:rsidP="00C82B37">
      <w:pPr>
        <w:rPr>
          <w:rFonts w:ascii="Trebuchet MS" w:hAnsi="Trebuchet MS"/>
          <w:b/>
          <w:bCs/>
          <w:i/>
          <w:iCs/>
          <w:color w:val="1F497D"/>
          <w:sz w:val="36"/>
          <w:szCs w:val="36"/>
        </w:rPr>
      </w:pPr>
      <w:r>
        <w:rPr>
          <w:rFonts w:ascii="Trebuchet MS" w:hAnsi="Trebuchet MS"/>
          <w:b/>
          <w:bCs/>
          <w:i/>
          <w:iCs/>
          <w:color w:val="1F497D"/>
          <w:sz w:val="36"/>
          <w:szCs w:val="36"/>
        </w:rPr>
        <w:t>Second Step: Distributing the score of each item in the Vertical Group</w:t>
      </w:r>
    </w:p>
    <w:p w:rsidR="00C82B37" w:rsidRDefault="00C82B37" w:rsidP="00C82B37">
      <w:pPr>
        <w:rPr>
          <w:rFonts w:ascii="Trebuchet MS" w:hAnsi="Trebuchet MS"/>
          <w:b/>
          <w:bCs/>
          <w:i/>
          <w:iCs/>
          <w:color w:val="1F497D"/>
          <w:sz w:val="36"/>
          <w:szCs w:val="36"/>
        </w:rPr>
      </w:pPr>
    </w:p>
    <w:p w:rsidR="00C82B37" w:rsidRDefault="00C82B37" w:rsidP="00C82B37">
      <w:pPr>
        <w:spacing w:after="240"/>
        <w:rPr>
          <w:color w:val="1F497D"/>
        </w:rPr>
      </w:pPr>
      <w:r>
        <w:rPr>
          <w:color w:val="1F497D"/>
        </w:rPr>
        <w:t>The rule was that:</w:t>
      </w:r>
    </w:p>
    <w:p w:rsidR="00C82B37" w:rsidRDefault="00C82B37" w:rsidP="00C82B37">
      <w:pPr>
        <w:pStyle w:val="ListParagraph"/>
        <w:numPr>
          <w:ilvl w:val="0"/>
          <w:numId w:val="2"/>
        </w:numPr>
        <w:rPr>
          <w:color w:val="1F497D"/>
        </w:rPr>
      </w:pPr>
      <w:r>
        <w:rPr>
          <w:color w:val="1F497D"/>
        </w:rPr>
        <w:t>Critical Reserve is 10% score effective</w:t>
      </w:r>
    </w:p>
    <w:p w:rsidR="00C82B37" w:rsidRDefault="00C82B37" w:rsidP="00C82B37">
      <w:pPr>
        <w:pStyle w:val="ListParagraph"/>
        <w:numPr>
          <w:ilvl w:val="0"/>
          <w:numId w:val="2"/>
        </w:numPr>
        <w:rPr>
          <w:color w:val="1F497D"/>
        </w:rPr>
      </w:pPr>
      <w:r>
        <w:rPr>
          <w:color w:val="1F497D"/>
        </w:rPr>
        <w:t>Major Reserve is 5% score effective</w:t>
      </w:r>
    </w:p>
    <w:p w:rsidR="00C82B37" w:rsidRDefault="00C82B37" w:rsidP="00C82B37">
      <w:pPr>
        <w:pStyle w:val="ListParagraph"/>
        <w:numPr>
          <w:ilvl w:val="0"/>
          <w:numId w:val="2"/>
        </w:numPr>
        <w:rPr>
          <w:color w:val="1F497D"/>
        </w:rPr>
      </w:pPr>
      <w:r>
        <w:rPr>
          <w:color w:val="1F497D"/>
        </w:rPr>
        <w:t>Minor Reserve is 2% score effective</w:t>
      </w:r>
    </w:p>
    <w:p w:rsidR="00C82B37" w:rsidRDefault="00C82B37" w:rsidP="00C82B37">
      <w:pPr>
        <w:rPr>
          <w:color w:val="1F497D"/>
        </w:rPr>
      </w:pPr>
      <w:r>
        <w:rPr>
          <w:color w:val="1F497D"/>
        </w:rPr>
        <w:br/>
        <w:t>Here is another way to look at it</w:t>
      </w:r>
    </w:p>
    <w:p w:rsidR="00C82B37" w:rsidRDefault="00C82B37" w:rsidP="00C82B37">
      <w:pPr>
        <w:rPr>
          <w:color w:val="1F497D"/>
        </w:rPr>
      </w:pPr>
    </w:p>
    <w:p w:rsidR="00C82B37" w:rsidRDefault="00C82B37" w:rsidP="00C82B37">
      <w:pPr>
        <w:rPr>
          <w:color w:val="1F497D"/>
        </w:rPr>
      </w:pPr>
      <m:oMathPara>
        <m:oMathParaPr>
          <m:jc m:val="left"/>
        </m:oMathParaPr>
        <m:oMath>
          <m:r>
            <w:rPr>
              <w:rFonts w:ascii="Cambria Math" w:hAnsi="Cambria Math"/>
              <w:color w:val="1F497D"/>
            </w:rPr>
            <m:t>Critical Reserve=2 ×Major Reserve</m:t>
          </m:r>
        </m:oMath>
      </m:oMathPara>
    </w:p>
    <w:p w:rsidR="00C82B37" w:rsidRDefault="00C82B37" w:rsidP="00C82B37">
      <w:pPr>
        <w:rPr>
          <w:color w:val="1F497D"/>
        </w:rPr>
      </w:pPr>
      <m:oMathPara>
        <m:oMathParaPr>
          <m:jc m:val="left"/>
        </m:oMathParaPr>
        <m:oMath>
          <m:r>
            <w:rPr>
              <w:rFonts w:ascii="Cambria Math" w:hAnsi="Cambria Math"/>
              <w:color w:val="1F497D"/>
            </w:rPr>
            <m:t>Critical Reserve=5 ×Minor Reserve</m:t>
          </m:r>
        </m:oMath>
      </m:oMathPara>
    </w:p>
    <w:p w:rsidR="00C82B37" w:rsidRDefault="00C82B37" w:rsidP="00C82B37">
      <w:pPr>
        <w:rPr>
          <w:color w:val="1F497D"/>
        </w:rPr>
      </w:pPr>
      <m:oMathPara>
        <m:oMathParaPr>
          <m:jc m:val="left"/>
        </m:oMathParaPr>
        <m:oMath>
          <m:r>
            <w:rPr>
              <w:rFonts w:ascii="Cambria Math" w:hAnsi="Cambria Math"/>
              <w:color w:val="1F497D"/>
            </w:rPr>
            <m:t>Major Reserve=</m:t>
          </m:r>
          <m:f>
            <m:fPr>
              <m:ctrlPr>
                <w:rPr>
                  <w:rFonts w:ascii="Cambria Math" w:hAnsi="Cambria Math"/>
                  <w:i/>
                  <w:iCs/>
                  <w:color w:val="1F497D"/>
                </w:rPr>
              </m:ctrlPr>
            </m:fPr>
            <m:num>
              <m:r>
                <w:rPr>
                  <w:rFonts w:ascii="Cambria Math" w:hAnsi="Cambria Math"/>
                  <w:color w:val="1F497D"/>
                </w:rPr>
                <m:t>5</m:t>
              </m:r>
            </m:num>
            <m:den>
              <m:r>
                <w:rPr>
                  <w:rFonts w:ascii="Cambria Math" w:hAnsi="Cambria Math"/>
                  <w:color w:val="1F497D"/>
                </w:rPr>
                <m:t>2</m:t>
              </m:r>
            </m:den>
          </m:f>
          <m:r>
            <w:rPr>
              <w:rFonts w:ascii="Cambria Math" w:hAnsi="Cambria Math"/>
              <w:color w:val="1F497D"/>
            </w:rPr>
            <m:t xml:space="preserve"> ×Minor Reserve</m:t>
          </m:r>
        </m:oMath>
      </m:oMathPara>
    </w:p>
    <w:p w:rsidR="00C82B37" w:rsidRDefault="00C82B37" w:rsidP="00C82B37">
      <w:pPr>
        <w:rPr>
          <w:color w:val="1F497D"/>
        </w:rPr>
      </w:pPr>
    </w:p>
    <w:p w:rsidR="00C82B37" w:rsidRDefault="00C82B37" w:rsidP="00C82B37">
      <w:pPr>
        <w:spacing w:after="240"/>
        <w:rPr>
          <w:color w:val="1F497D"/>
        </w:rPr>
      </w:pPr>
      <w:r>
        <w:rPr>
          <w:color w:val="1F497D"/>
        </w:rPr>
        <w:t>We will distribute the ceiling for the below reserves as show in the below example for (Equipment and DDF) reserves:</w:t>
      </w:r>
    </w:p>
    <w:tbl>
      <w:tblPr>
        <w:tblW w:w="0" w:type="auto"/>
        <w:tblInd w:w="-23" w:type="dxa"/>
        <w:tblCellMar>
          <w:left w:w="0" w:type="dxa"/>
          <w:right w:w="0" w:type="dxa"/>
        </w:tblCellMar>
        <w:tblLook w:val="04A0" w:firstRow="1" w:lastRow="0" w:firstColumn="1" w:lastColumn="0" w:noHBand="0" w:noVBand="1"/>
      </w:tblPr>
      <w:tblGrid>
        <w:gridCol w:w="933"/>
        <w:gridCol w:w="1160"/>
        <w:gridCol w:w="3654"/>
        <w:gridCol w:w="930"/>
        <w:gridCol w:w="450"/>
        <w:gridCol w:w="452"/>
        <w:gridCol w:w="504"/>
        <w:gridCol w:w="438"/>
        <w:gridCol w:w="842"/>
      </w:tblGrid>
      <w:tr w:rsidR="00C82B37" w:rsidTr="00C82B37">
        <w:trPr>
          <w:trHeight w:val="885"/>
        </w:trPr>
        <w:tc>
          <w:tcPr>
            <w:tcW w:w="0" w:type="auto"/>
            <w:tcBorders>
              <w:top w:val="single" w:sz="8" w:space="0" w:color="auto"/>
              <w:left w:val="single" w:sz="8" w:space="0" w:color="auto"/>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Class</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Sub-Class</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Criteria</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Recommendation</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Minor</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Major</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Critical</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Used</w:t>
            </w:r>
          </w:p>
        </w:tc>
        <w:tc>
          <w:tcPr>
            <w:tcW w:w="0" w:type="auto"/>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spacing w:line="276" w:lineRule="auto"/>
              <w:jc w:val="center"/>
              <w:rPr>
                <w:rFonts w:ascii="Tahoma" w:hAnsi="Tahoma" w:cs="Tahoma"/>
                <w:b/>
                <w:bCs/>
                <w:sz w:val="16"/>
                <w:szCs w:val="16"/>
              </w:rPr>
            </w:pPr>
            <w:r>
              <w:rPr>
                <w:rFonts w:ascii="Tahoma" w:hAnsi="Tahoma" w:cs="Tahoma"/>
                <w:b/>
                <w:bCs/>
                <w:sz w:val="16"/>
                <w:szCs w:val="16"/>
              </w:rPr>
              <w:t>Weighted Representation</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Clean (not normal dust)</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Label unit/components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lastRenderedPageBreak/>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Unit unfixed/not installed well</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Liquid penetration/leakage (e.g. rain, aggregated water, major diesel, major oil, etc…)</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Unit sharp edges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Unit earth</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Components faulty</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Wrong connection</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Alarms on equipment (excluding ADM)</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Alarms reporting to the OMC</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Cables/Jumpers/Coaxial/FO/PCM protection (e.g. floating/[sharp edges in trays/ducts/conduits])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Cables/Jumpers/Coaxial/FO/PCM organization</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Cables/Jumpers/Coaxial/FO/PCM wrong penetration</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Cables/Feeders/Jumpers/Coaxial/FO/PCM connection tightness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Cables termination/lugs (AC side), lugs (DC side)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Messy DDF (more than or equal to 10 Krone Blocks or equivalent)</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Messy DDF (less than 10 Krone Blocks or equivalent)</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Trays/ducts/conduits unfixed</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Trays/ducts/conduits has lean supports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DB67A"/>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0.45%</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Ducts/conduits covers missing/unfixed</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lastRenderedPageBreak/>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 covers missing/unfixed (if laid on the ground only)</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63BE7B"/>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0.00%</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w:t>
            </w:r>
            <w:proofErr w:type="spellStart"/>
            <w:r>
              <w:rPr>
                <w:rFonts w:ascii="Tahoma" w:hAnsi="Tahoma" w:cs="Tahoma"/>
                <w:color w:val="000000"/>
                <w:sz w:val="16"/>
                <w:szCs w:val="16"/>
              </w:rPr>
              <w:t>Roxtec</w:t>
            </w:r>
            <w:proofErr w:type="spellEnd"/>
            <w:r>
              <w:rPr>
                <w:rFonts w:ascii="Tahoma" w:hAnsi="Tahoma" w:cs="Tahoma"/>
                <w:color w:val="000000"/>
                <w:sz w:val="16"/>
                <w:szCs w:val="16"/>
              </w:rPr>
              <w:t>/Plate not earthed</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 rust</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Trays corrosion</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63BE7B"/>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0.00%</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Unit rust (else trays)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B7D67F"/>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0.09%</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Unit corrosion (else trays)</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63BE7B"/>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0.00%</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Some parts are missing</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E082"/>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0.22%</w:t>
            </w:r>
          </w:p>
        </w:tc>
      </w:tr>
      <w:tr w:rsidR="00C82B37" w:rsidTr="00C82B37">
        <w:trPr>
          <w:trHeight w:val="30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Radio Equipment and DDF</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spacing w:line="276" w:lineRule="auto"/>
              <w:rPr>
                <w:rFonts w:ascii="Tahoma" w:hAnsi="Tahoma" w:cs="Tahoma"/>
                <w:color w:val="000000"/>
                <w:sz w:val="16"/>
                <w:szCs w:val="16"/>
              </w:rPr>
            </w:pPr>
            <w:r>
              <w:rPr>
                <w:rFonts w:ascii="Tahoma" w:hAnsi="Tahoma" w:cs="Tahoma"/>
                <w:color w:val="000000"/>
                <w:sz w:val="16"/>
                <w:szCs w:val="16"/>
              </w:rPr>
              <w:t>Panorama pictures for each system</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FALSE</w:t>
            </w:r>
          </w:p>
        </w:tc>
        <w:tc>
          <w:tcPr>
            <w:tcW w:w="0" w:type="auto"/>
            <w:tcBorders>
              <w:top w:val="nil"/>
              <w:left w:val="nil"/>
              <w:bottom w:val="single" w:sz="8" w:space="0" w:color="auto"/>
              <w:right w:val="single" w:sz="8" w:space="0" w:color="auto"/>
            </w:tcBorders>
            <w:shd w:val="clear" w:color="auto" w:fill="00FF00"/>
            <w:noWrap/>
            <w:tcMar>
              <w:top w:w="0" w:type="dxa"/>
              <w:left w:w="108" w:type="dxa"/>
              <w:bottom w:w="0" w:type="dxa"/>
              <w:right w:w="108" w:type="dxa"/>
            </w:tcMar>
            <w:vAlign w:val="bottom"/>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TRUE</w:t>
            </w:r>
          </w:p>
        </w:tc>
        <w:tc>
          <w:tcPr>
            <w:tcW w:w="0" w:type="auto"/>
            <w:tcBorders>
              <w:top w:val="nil"/>
              <w:left w:val="nil"/>
              <w:bottom w:val="single" w:sz="8" w:space="0" w:color="auto"/>
              <w:right w:val="single" w:sz="8" w:space="0" w:color="auto"/>
            </w:tcBorders>
            <w:shd w:val="clear" w:color="auto" w:fill="63BE7B"/>
            <w:noWrap/>
            <w:tcMar>
              <w:top w:w="0" w:type="dxa"/>
              <w:left w:w="108" w:type="dxa"/>
              <w:bottom w:w="0" w:type="dxa"/>
              <w:right w:w="108" w:type="dxa"/>
            </w:tcMar>
            <w:vAlign w:val="center"/>
            <w:hideMark/>
          </w:tcPr>
          <w:p w:rsidR="00C82B37" w:rsidRDefault="00C82B37">
            <w:pPr>
              <w:spacing w:line="276" w:lineRule="auto"/>
              <w:jc w:val="center"/>
              <w:rPr>
                <w:rFonts w:ascii="Tahoma" w:hAnsi="Tahoma" w:cs="Tahoma"/>
                <w:color w:val="000000"/>
                <w:sz w:val="16"/>
                <w:szCs w:val="16"/>
              </w:rPr>
            </w:pPr>
            <w:r>
              <w:rPr>
                <w:rFonts w:ascii="Tahoma" w:hAnsi="Tahoma" w:cs="Tahoma"/>
                <w:color w:val="000000"/>
                <w:sz w:val="16"/>
                <w:szCs w:val="16"/>
              </w:rPr>
              <w:t>0.00%</w:t>
            </w:r>
          </w:p>
        </w:tc>
      </w:tr>
    </w:tbl>
    <w:p w:rsidR="00C82B37" w:rsidRDefault="00C82B37" w:rsidP="00C82B37">
      <w:pPr>
        <w:spacing w:before="100" w:beforeAutospacing="1" w:after="100" w:afterAutospacing="1"/>
      </w:pPr>
    </w:p>
    <w:p w:rsidR="00C82B37" w:rsidRDefault="00C82B37" w:rsidP="00C82B37">
      <w:pPr>
        <w:spacing w:before="100" w:beforeAutospacing="1" w:after="100" w:afterAutospacing="1"/>
        <w:rPr>
          <w:color w:val="1F497D"/>
        </w:rPr>
      </w:pPr>
      <w:r>
        <w:rPr>
          <w:color w:val="1F497D"/>
        </w:rPr>
        <w:t>Let’s explain this in a simple way</w:t>
      </w:r>
    </w:p>
    <w:p w:rsidR="00C82B37" w:rsidRDefault="00C82B37" w:rsidP="00C82B37">
      <w:pPr>
        <w:spacing w:before="100" w:beforeAutospacing="1" w:after="100" w:afterAutospacing="1"/>
        <w:rPr>
          <w:color w:val="1F497D"/>
        </w:rPr>
      </w:pPr>
      <m:oMathPara>
        <m:oMathParaPr>
          <m:jc m:val="left"/>
        </m:oMathParaPr>
        <m:oMath>
          <m:nary>
            <m:naryPr>
              <m:chr m:val="∑"/>
              <m:limLoc m:val="undOvr"/>
              <m:supHide m:val="1"/>
              <m:ctrlPr>
                <w:rPr>
                  <w:rFonts w:ascii="Cambria Math" w:hAnsi="Cambria Math"/>
                  <w:color w:val="1F497D"/>
                </w:rPr>
              </m:ctrlPr>
            </m:naryPr>
            <m:sub>
              <m:r>
                <m:rPr>
                  <m:sty m:val="p"/>
                </m:rPr>
                <w:rPr>
                  <w:rFonts w:ascii="Cambria Math" w:hAnsi="Cambria Math"/>
                  <w:color w:val="1F497D"/>
                </w:rPr>
                <m:t>Radio Equipment and DDF</m:t>
              </m:r>
            </m:sub>
            <m:sup/>
            <m:e>
              <m:r>
                <m:rPr>
                  <m:sty m:val="p"/>
                </m:rPr>
                <w:rPr>
                  <w:rFonts w:ascii="Cambria Math" w:hAnsi="Cambria Math"/>
                  <w:color w:val="1F497D"/>
                </w:rPr>
                <m:t>(Items)</m:t>
              </m:r>
            </m:e>
          </m:nary>
          <m:r>
            <m:rPr>
              <m:sty m:val="p"/>
            </m:rPr>
            <w:rPr>
              <w:rFonts w:ascii="Cambria Math" w:hAnsi="Cambria Math"/>
              <w:color w:val="1F497D"/>
            </w:rPr>
            <m:t>=6.36%</m:t>
          </m:r>
        </m:oMath>
      </m:oMathPara>
    </w:p>
    <w:p w:rsidR="00C82B37" w:rsidRDefault="00C82B37" w:rsidP="00C82B37">
      <w:pPr>
        <w:spacing w:before="100" w:beforeAutospacing="1" w:after="100" w:afterAutospacing="1"/>
        <w:rPr>
          <w:color w:val="1F497D"/>
        </w:rPr>
      </w:pPr>
      <w:r>
        <w:rPr>
          <w:color w:val="1F497D"/>
        </w:rPr>
        <w:t>Let’s also assume the following:</w:t>
      </w:r>
    </w:p>
    <w:p w:rsidR="00C82B37" w:rsidRDefault="00C82B37" w:rsidP="00C82B37">
      <w:pPr>
        <w:spacing w:before="100" w:beforeAutospacing="1" w:after="100" w:afterAutospacing="1"/>
        <w:rPr>
          <w:color w:val="1F497D"/>
        </w:rPr>
      </w:pPr>
      <m:oMathPara>
        <m:oMathParaPr>
          <m:jc m:val="left"/>
        </m:oMathParaPr>
        <m:oMath>
          <m:r>
            <m:rPr>
              <m:sty m:val="p"/>
            </m:rPr>
            <w:rPr>
              <w:rFonts w:ascii="Cambria Math" w:hAnsi="Cambria Math"/>
              <w:color w:val="1F497D"/>
            </w:rPr>
            <m:t>Critical Reserve=10x</m:t>
          </m:r>
          <m:r>
            <w:rPr>
              <w:color w:val="1F497D"/>
            </w:rPr>
            <w:br/>
          </m:r>
        </m:oMath>
        <m:oMath>
          <m:r>
            <m:rPr>
              <m:sty m:val="p"/>
            </m:rPr>
            <w:rPr>
              <w:rFonts w:ascii="Cambria Math" w:hAnsi="Cambria Math"/>
              <w:color w:val="1F497D"/>
            </w:rPr>
            <m:t>Major Reserve=5x</m:t>
          </m:r>
          <m:r>
            <w:rPr>
              <w:color w:val="1F497D"/>
            </w:rPr>
            <w:br/>
          </m:r>
        </m:oMath>
        <m:oMath>
          <m:r>
            <m:rPr>
              <m:sty m:val="p"/>
            </m:rPr>
            <w:rPr>
              <w:rFonts w:ascii="Cambria Math" w:hAnsi="Cambria Math"/>
              <w:color w:val="1F497D"/>
            </w:rPr>
            <m:t>Minor Reserve=2x</m:t>
          </m:r>
        </m:oMath>
      </m:oMathPara>
    </w:p>
    <w:p w:rsidR="00C82B37" w:rsidRDefault="00C82B37" w:rsidP="00C82B37">
      <w:pPr>
        <w:spacing w:before="100" w:beforeAutospacing="1" w:after="100" w:afterAutospacing="1"/>
        <w:rPr>
          <w:color w:val="1F497D"/>
        </w:rPr>
      </w:pPr>
      <w:r>
        <w:rPr>
          <w:color w:val="1F497D"/>
        </w:rPr>
        <w:t>From the previous equations, it is safe to conclude the following:</w:t>
      </w:r>
    </w:p>
    <w:p w:rsidR="00C82B37" w:rsidRDefault="00C82B37" w:rsidP="00C82B37">
      <w:pPr>
        <w:spacing w:before="100" w:beforeAutospacing="1" w:after="100" w:afterAutospacing="1"/>
        <w:rPr>
          <w:color w:val="1F497D"/>
        </w:rPr>
      </w:pPr>
      <m:oMathPara>
        <m:oMathParaPr>
          <m:jc m:val="left"/>
        </m:oMathParaPr>
        <m:oMath>
          <m:nary>
            <m:naryPr>
              <m:chr m:val="∑"/>
              <m:limLoc m:val="undOvr"/>
              <m:subHide m:val="1"/>
              <m:supHide m:val="1"/>
              <m:ctrlPr>
                <w:rPr>
                  <w:rFonts w:ascii="Cambria Math" w:hAnsi="Cambria Math"/>
                  <w:color w:val="1F497D"/>
                </w:rPr>
              </m:ctrlPr>
            </m:naryPr>
            <m:sub/>
            <m:sup/>
            <m:e>
              <m:r>
                <m:rPr>
                  <m:sty m:val="p"/>
                </m:rPr>
                <w:rPr>
                  <w:rFonts w:ascii="Cambria Math" w:hAnsi="Cambria Math"/>
                  <w:color w:val="1F497D"/>
                </w:rPr>
                <m:t>Critical Reserves</m:t>
              </m:r>
            </m:e>
          </m:nary>
          <m:r>
            <m:rPr>
              <m:sty m:val="p"/>
            </m:rPr>
            <w:rPr>
              <w:rFonts w:ascii="Cambria Math" w:hAnsi="Cambria Math"/>
              <w:color w:val="1F497D"/>
            </w:rPr>
            <m:t xml:space="preserve">+ </m:t>
          </m:r>
          <m:nary>
            <m:naryPr>
              <m:chr m:val="∑"/>
              <m:limLoc m:val="undOvr"/>
              <m:subHide m:val="1"/>
              <m:supHide m:val="1"/>
              <m:ctrlPr>
                <w:rPr>
                  <w:rFonts w:ascii="Cambria Math" w:hAnsi="Cambria Math"/>
                  <w:color w:val="1F497D"/>
                </w:rPr>
              </m:ctrlPr>
            </m:naryPr>
            <m:sub/>
            <m:sup/>
            <m:e>
              <m:r>
                <m:rPr>
                  <m:sty m:val="p"/>
                </m:rPr>
                <w:rPr>
                  <w:rFonts w:ascii="Cambria Math" w:hAnsi="Cambria Math"/>
                  <w:color w:val="1F497D"/>
                </w:rPr>
                <m:t>Major Reserves</m:t>
              </m:r>
            </m:e>
          </m:nary>
          <m:r>
            <m:rPr>
              <m:sty m:val="p"/>
            </m:rPr>
            <w:rPr>
              <w:rFonts w:ascii="Cambria Math" w:hAnsi="Cambria Math"/>
              <w:color w:val="1F497D"/>
            </w:rPr>
            <m:t xml:space="preserve">+ </m:t>
          </m:r>
          <m:nary>
            <m:naryPr>
              <m:chr m:val="∑"/>
              <m:limLoc m:val="undOvr"/>
              <m:subHide m:val="1"/>
              <m:supHide m:val="1"/>
              <m:ctrlPr>
                <w:rPr>
                  <w:rFonts w:ascii="Cambria Math" w:hAnsi="Cambria Math"/>
                  <w:color w:val="1F497D"/>
                </w:rPr>
              </m:ctrlPr>
            </m:naryPr>
            <m:sub/>
            <m:sup/>
            <m:e>
              <m:r>
                <m:rPr>
                  <m:sty m:val="p"/>
                </m:rPr>
                <w:rPr>
                  <w:rFonts w:ascii="Cambria Math" w:hAnsi="Cambria Math"/>
                  <w:color w:val="1F497D"/>
                </w:rPr>
                <m:t>Minor Reserves</m:t>
              </m:r>
            </m:e>
          </m:nary>
          <m:r>
            <m:rPr>
              <m:sty m:val="p"/>
            </m:rPr>
            <w:rPr>
              <w:rFonts w:ascii="Cambria Math" w:hAnsi="Cambria Math"/>
              <w:color w:val="1F497D"/>
            </w:rPr>
            <m:t xml:space="preserve">=6.36% </m:t>
          </m:r>
        </m:oMath>
      </m:oMathPara>
    </w:p>
    <w:p w:rsidR="00C82B37" w:rsidRDefault="00C82B37" w:rsidP="00C82B37">
      <w:pPr>
        <w:spacing w:before="100" w:beforeAutospacing="1" w:after="100" w:afterAutospacing="1"/>
        <w:rPr>
          <w:b/>
          <w:bCs/>
          <w:i/>
          <w:iCs/>
          <w:color w:val="7030A0"/>
          <w:sz w:val="24"/>
          <w:szCs w:val="24"/>
        </w:rPr>
      </w:pPr>
      <w:r>
        <w:rPr>
          <w:b/>
          <w:bCs/>
          <w:i/>
          <w:iCs/>
          <w:color w:val="7030A0"/>
          <w:sz w:val="24"/>
          <w:szCs w:val="24"/>
        </w:rPr>
        <w:t>Note: we’ve taken a sample of 1222 different reports and found that there were some items that were not used.</w:t>
      </w:r>
      <w:r>
        <w:rPr>
          <w:b/>
          <w:bCs/>
          <w:i/>
          <w:iCs/>
          <w:color w:val="7030A0"/>
          <w:sz w:val="24"/>
          <w:szCs w:val="24"/>
        </w:rPr>
        <w:br/>
      </w:r>
      <w:r>
        <w:rPr>
          <w:b/>
          <w:bCs/>
          <w:i/>
          <w:iCs/>
          <w:color w:val="7030A0"/>
          <w:sz w:val="24"/>
          <w:szCs w:val="24"/>
        </w:rPr>
        <w:t>We will exclude them in order to distribute the weight we have upon the effective found items</w:t>
      </w:r>
    </w:p>
    <w:p w:rsidR="00C82B37" w:rsidRDefault="00C82B37" w:rsidP="00C82B37">
      <w:pPr>
        <w:spacing w:before="100" w:beforeAutospacing="1" w:after="100" w:afterAutospacing="1"/>
        <w:rPr>
          <w:color w:val="1F497D"/>
        </w:rPr>
      </w:pPr>
      <w:r>
        <w:rPr>
          <w:color w:val="1F497D"/>
        </w:rPr>
        <w:t>Substitute for each reserve type by its (</w:t>
      </w:r>
      <w:proofErr w:type="spellStart"/>
      <w:r>
        <w:rPr>
          <w:color w:val="1F497D"/>
        </w:rPr>
        <w:t>nx</w:t>
      </w:r>
      <w:proofErr w:type="spellEnd"/>
      <w:r>
        <w:rPr>
          <w:color w:val="1F497D"/>
        </w:rPr>
        <w:t>) factor</w:t>
      </w:r>
    </w:p>
    <w:p w:rsidR="00C82B37" w:rsidRDefault="00C82B37" w:rsidP="00C82B37">
      <w:pPr>
        <w:spacing w:before="100" w:beforeAutospacing="1" w:after="100" w:afterAutospacing="1"/>
        <w:rPr>
          <w:color w:val="1F497D"/>
        </w:rPr>
      </w:pPr>
      <m:oMathPara>
        <m:oMathParaPr>
          <m:jc m:val="left"/>
        </m:oMathParaPr>
        <m:oMath>
          <m:d>
            <m:dPr>
              <m:ctrlPr>
                <w:rPr>
                  <w:rFonts w:ascii="Cambria Math" w:hAnsi="Cambria Math"/>
                  <w:i/>
                  <w:iCs/>
                  <w:color w:val="1F497D"/>
                </w:rPr>
              </m:ctrlPr>
            </m:dPr>
            <m:e>
              <m:r>
                <w:rPr>
                  <w:rFonts w:ascii="Cambria Math" w:hAnsi="Cambria Math"/>
                  <w:color w:val="1F497D"/>
                </w:rPr>
                <m:t>8</m:t>
              </m:r>
            </m:e>
          </m:d>
          <m:d>
            <m:dPr>
              <m:ctrlPr>
                <w:rPr>
                  <w:rFonts w:ascii="Cambria Math" w:hAnsi="Cambria Math"/>
                  <w:i/>
                  <w:iCs/>
                  <w:color w:val="1F497D"/>
                </w:rPr>
              </m:ctrlPr>
            </m:dPr>
            <m:e>
              <m:r>
                <w:rPr>
                  <w:rFonts w:ascii="Cambria Math" w:hAnsi="Cambria Math"/>
                  <w:color w:val="1F497D"/>
                </w:rPr>
                <m:t>10x</m:t>
              </m:r>
            </m:e>
          </m:d>
          <m:r>
            <w:rPr>
              <w:rFonts w:ascii="Cambria Math" w:hAnsi="Cambria Math"/>
              <w:color w:val="1F497D"/>
            </w:rPr>
            <m:t>+</m:t>
          </m:r>
          <m:d>
            <m:dPr>
              <m:ctrlPr>
                <w:rPr>
                  <w:rFonts w:ascii="Cambria Math" w:hAnsi="Cambria Math"/>
                  <w:i/>
                  <w:iCs/>
                  <w:color w:val="1F497D"/>
                </w:rPr>
              </m:ctrlPr>
            </m:dPr>
            <m:e>
              <m:r>
                <w:rPr>
                  <w:rFonts w:ascii="Cambria Math" w:hAnsi="Cambria Math"/>
                  <w:color w:val="1F497D"/>
                </w:rPr>
                <m:t>10</m:t>
              </m:r>
            </m:e>
          </m:d>
          <m:d>
            <m:dPr>
              <m:ctrlPr>
                <w:rPr>
                  <w:rFonts w:ascii="Cambria Math" w:hAnsi="Cambria Math"/>
                  <w:i/>
                  <w:iCs/>
                  <w:color w:val="1F497D"/>
                </w:rPr>
              </m:ctrlPr>
            </m:dPr>
            <m:e>
              <m:r>
                <w:rPr>
                  <w:rFonts w:ascii="Cambria Math" w:hAnsi="Cambria Math"/>
                  <w:color w:val="1F497D"/>
                </w:rPr>
                <m:t>5x</m:t>
              </m:r>
            </m:e>
          </m:d>
          <m:r>
            <w:rPr>
              <w:rFonts w:ascii="Cambria Math" w:hAnsi="Cambria Math"/>
              <w:color w:val="1F497D"/>
            </w:rPr>
            <m:t>+</m:t>
          </m:r>
          <m:d>
            <m:dPr>
              <m:ctrlPr>
                <w:rPr>
                  <w:rFonts w:ascii="Cambria Math" w:hAnsi="Cambria Math"/>
                  <w:i/>
                  <w:iCs/>
                  <w:color w:val="1F497D"/>
                </w:rPr>
              </m:ctrlPr>
            </m:dPr>
            <m:e>
              <m:r>
                <w:rPr>
                  <w:rFonts w:ascii="Cambria Math" w:hAnsi="Cambria Math"/>
                  <w:color w:val="1F497D"/>
                </w:rPr>
                <m:t>6</m:t>
              </m:r>
            </m:e>
          </m:d>
          <m:d>
            <m:dPr>
              <m:ctrlPr>
                <w:rPr>
                  <w:rFonts w:ascii="Cambria Math" w:hAnsi="Cambria Math"/>
                  <w:i/>
                  <w:iCs/>
                  <w:color w:val="1F497D"/>
                </w:rPr>
              </m:ctrlPr>
            </m:dPr>
            <m:e>
              <m:r>
                <w:rPr>
                  <w:rFonts w:ascii="Cambria Math" w:hAnsi="Cambria Math"/>
                  <w:color w:val="1F497D"/>
                </w:rPr>
                <m:t>2x</m:t>
              </m:r>
            </m:e>
          </m:d>
          <m:r>
            <w:rPr>
              <w:rFonts w:ascii="Cambria Math" w:hAnsi="Cambria Math"/>
              <w:color w:val="1F497D"/>
            </w:rPr>
            <m:t>=6.36%</m:t>
          </m:r>
        </m:oMath>
      </m:oMathPara>
    </w:p>
    <w:p w:rsidR="00C82B37" w:rsidRDefault="00C82B37" w:rsidP="00C82B37">
      <w:pPr>
        <w:spacing w:before="100" w:beforeAutospacing="1" w:after="100" w:afterAutospacing="1"/>
        <w:rPr>
          <w:color w:val="1F497D"/>
        </w:rPr>
      </w:pPr>
      <m:oMathPara>
        <m:oMathParaPr>
          <m:jc m:val="left"/>
        </m:oMathParaPr>
        <m:oMath>
          <m:r>
            <w:rPr>
              <w:rFonts w:ascii="Cambria Math" w:hAnsi="Cambria Math"/>
              <w:color w:val="1F497D"/>
            </w:rPr>
            <w:lastRenderedPageBreak/>
            <m:t>x=0.0466%</m:t>
          </m:r>
        </m:oMath>
      </m:oMathPara>
    </w:p>
    <w:p w:rsidR="00C82B37" w:rsidRDefault="00C82B37" w:rsidP="00C82B37">
      <w:pPr>
        <w:spacing w:before="100" w:beforeAutospacing="1" w:after="100" w:afterAutospacing="1"/>
        <w:rPr>
          <w:color w:val="1F497D"/>
        </w:rPr>
      </w:pPr>
      <m:oMathPara>
        <m:oMathParaPr>
          <m:jc m:val="left"/>
        </m:oMathParaPr>
        <m:oMath>
          <m:r>
            <w:rPr>
              <w:rFonts w:ascii="Cambria Math" w:hAnsi="Cambria Math"/>
              <w:color w:val="1F497D"/>
            </w:rPr>
            <m:t>Critical Reserve=10x=0.466%</m:t>
          </m:r>
          <m:r>
            <m:rPr>
              <m:sty m:val="p"/>
            </m:rPr>
            <w:rPr>
              <w:rFonts w:ascii="Cambria Math" w:hAnsi="Cambria Math"/>
            </w:rPr>
            <w:br/>
          </m:r>
        </m:oMath>
        <m:oMath>
          <m:r>
            <w:rPr>
              <w:rFonts w:ascii="Cambria Math" w:hAnsi="Cambria Math"/>
              <w:color w:val="1F497D"/>
            </w:rPr>
            <m:t>Major Reserve=5x=0.233%</m:t>
          </m:r>
          <m:r>
            <m:rPr>
              <m:sty m:val="p"/>
            </m:rPr>
            <w:rPr>
              <w:rFonts w:ascii="Cambria Math" w:hAnsi="Cambria Math"/>
            </w:rPr>
            <w:br/>
          </m:r>
        </m:oMath>
        <m:oMath>
          <m:r>
            <w:rPr>
              <w:rFonts w:ascii="Cambria Math" w:hAnsi="Cambria Math"/>
              <w:color w:val="1F497D"/>
            </w:rPr>
            <m:t xml:space="preserve">Minor Reserve=2x=0.0933% </m:t>
          </m:r>
        </m:oMath>
      </m:oMathPara>
    </w:p>
    <w:p w:rsidR="00C82B37" w:rsidRDefault="00C82B37" w:rsidP="00C82B37">
      <w:pPr>
        <w:rPr>
          <w:rFonts w:ascii="Trebuchet MS" w:hAnsi="Trebuchet MS"/>
          <w:b/>
          <w:bCs/>
          <w:i/>
          <w:iCs/>
          <w:color w:val="1F497D"/>
          <w:sz w:val="36"/>
          <w:szCs w:val="36"/>
        </w:rPr>
      </w:pPr>
      <w:r>
        <w:rPr>
          <w:rFonts w:ascii="Trebuchet MS" w:hAnsi="Trebuchet MS"/>
          <w:b/>
          <w:bCs/>
          <w:i/>
          <w:iCs/>
          <w:color w:val="1F497D"/>
          <w:sz w:val="36"/>
          <w:szCs w:val="36"/>
        </w:rPr>
        <w:t>Third Step: Summation of all reserves to determine the Linear Score</w:t>
      </w:r>
    </w:p>
    <w:p w:rsidR="00C82B37" w:rsidRDefault="00C82B37" w:rsidP="00C82B37">
      <w:pPr>
        <w:spacing w:before="100" w:beforeAutospacing="1" w:after="100" w:afterAutospacing="1"/>
        <w:rPr>
          <w:color w:val="1F497D"/>
        </w:rPr>
      </w:pPr>
      <w:r>
        <w:rPr>
          <w:color w:val="1F497D"/>
        </w:rPr>
        <w:t>After breaking down the score into one value per each item, it is possible at the moment to sum up all the items and subtract it from the total (which is 100%)</w:t>
      </w:r>
    </w:p>
    <w:p w:rsidR="00C82B37" w:rsidRDefault="00C82B37" w:rsidP="00C82B37">
      <w:pPr>
        <w:spacing w:before="100" w:beforeAutospacing="1" w:after="100" w:afterAutospacing="1"/>
        <w:rPr>
          <w:color w:val="1F497D"/>
        </w:rPr>
      </w:pPr>
      <m:oMathPara>
        <m:oMathParaPr>
          <m:jc m:val="left"/>
        </m:oMathParaPr>
        <m:oMath>
          <m:r>
            <w:rPr>
              <w:rFonts w:ascii="Cambria Math" w:hAnsi="Cambria Math"/>
              <w:color w:val="1F497D"/>
            </w:rPr>
            <m:t xml:space="preserve">Linear Score=100%- </m:t>
          </m:r>
          <m:nary>
            <m:naryPr>
              <m:chr m:val="∑"/>
              <m:limLoc m:val="undOvr"/>
              <m:supHide m:val="1"/>
              <m:ctrlPr>
                <w:rPr>
                  <w:rFonts w:ascii="Cambria Math" w:hAnsi="Cambria Math"/>
                  <w:i/>
                  <w:iCs/>
                  <w:color w:val="1F497D"/>
                </w:rPr>
              </m:ctrlPr>
            </m:naryPr>
            <m:sub>
              <m:r>
                <w:rPr>
                  <w:rFonts w:ascii="Cambria Math" w:hAnsi="Cambria Math"/>
                  <w:color w:val="1F497D"/>
                </w:rPr>
                <m:t>All reserves found in site</m:t>
              </m:r>
            </m:sub>
            <m:sup/>
            <m:e>
              <m:r>
                <w:rPr>
                  <w:rFonts w:ascii="Cambria Math" w:hAnsi="Cambria Math"/>
                  <w:color w:val="1F497D"/>
                </w:rPr>
                <m:t>Score effect of each item</m:t>
              </m:r>
            </m:e>
          </m:nary>
        </m:oMath>
      </m:oMathPara>
    </w:p>
    <w:p w:rsidR="00C82B37" w:rsidRDefault="00C82B37" w:rsidP="00C82B37">
      <w:pPr>
        <w:spacing w:before="100" w:beforeAutospacing="1" w:after="100" w:afterAutospacing="1"/>
        <w:rPr>
          <w:color w:val="1F497D"/>
        </w:rPr>
      </w:pPr>
    </w:p>
    <w:p w:rsidR="00C82B37" w:rsidRDefault="00C82B37" w:rsidP="00C82B37">
      <w:pPr>
        <w:rPr>
          <w:rFonts w:ascii="Trebuchet MS" w:hAnsi="Trebuchet MS"/>
          <w:b/>
          <w:bCs/>
          <w:i/>
          <w:iCs/>
          <w:color w:val="1F497D"/>
          <w:sz w:val="36"/>
          <w:szCs w:val="36"/>
        </w:rPr>
      </w:pPr>
      <w:r>
        <w:rPr>
          <w:rFonts w:ascii="Trebuchet MS" w:hAnsi="Trebuchet MS"/>
          <w:b/>
          <w:bCs/>
          <w:i/>
          <w:iCs/>
          <w:color w:val="1F497D"/>
          <w:sz w:val="36"/>
          <w:szCs w:val="36"/>
        </w:rPr>
        <w:t>Fourth Step: Multiplying the Linear Score with the first factor (</w:t>
      </w:r>
      <w:proofErr w:type="spellStart"/>
      <w:r>
        <w:rPr>
          <w:rFonts w:ascii="Trebuchet MS" w:hAnsi="Trebuchet MS"/>
          <w:b/>
          <w:bCs/>
          <w:i/>
          <w:iCs/>
          <w:color w:val="1F497D"/>
          <w:sz w:val="36"/>
          <w:szCs w:val="36"/>
        </w:rPr>
        <w:t>K</w:t>
      </w:r>
      <w:r>
        <w:rPr>
          <w:rFonts w:ascii="Trebuchet MS" w:hAnsi="Trebuchet MS"/>
          <w:b/>
          <w:bCs/>
          <w:i/>
          <w:iCs/>
          <w:color w:val="1F497D"/>
          <w:sz w:val="36"/>
          <w:szCs w:val="36"/>
          <w:vertAlign w:val="subscript"/>
        </w:rPr>
        <w:t>Vertical</w:t>
      </w:r>
      <w:proofErr w:type="spellEnd"/>
      <w:r>
        <w:rPr>
          <w:rFonts w:ascii="Trebuchet MS" w:hAnsi="Trebuchet MS"/>
          <w:b/>
          <w:bCs/>
          <w:i/>
          <w:iCs/>
          <w:color w:val="1F497D"/>
          <w:sz w:val="36"/>
          <w:szCs w:val="36"/>
        </w:rPr>
        <w:t>)</w:t>
      </w:r>
    </w:p>
    <w:p w:rsidR="00C82B37" w:rsidRDefault="00C82B37" w:rsidP="00C82B37">
      <w:pPr>
        <w:spacing w:before="100" w:beforeAutospacing="1" w:after="100" w:afterAutospacing="1"/>
        <w:rPr>
          <w:color w:val="1F497D"/>
        </w:rPr>
      </w:pPr>
      <w:proofErr w:type="spellStart"/>
      <w:r>
        <w:rPr>
          <w:color w:val="1F497D"/>
        </w:rPr>
        <w:t>K</w:t>
      </w:r>
      <w:r>
        <w:rPr>
          <w:color w:val="1F497D"/>
          <w:vertAlign w:val="subscript"/>
        </w:rPr>
        <w:t>Vertical</w:t>
      </w:r>
      <w:proofErr w:type="spellEnd"/>
      <w:r>
        <w:rPr>
          <w:color w:val="1F497D"/>
          <w:vertAlign w:val="subscript"/>
        </w:rPr>
        <w:t xml:space="preserve"> </w:t>
      </w:r>
      <w:r>
        <w:rPr>
          <w:color w:val="1F497D"/>
        </w:rPr>
        <w:t>is a programmable factor and its explanation is simple</w:t>
      </w:r>
    </w:p>
    <w:p w:rsidR="00C82B37" w:rsidRDefault="00C82B37" w:rsidP="00C82B37">
      <w:pPr>
        <w:spacing w:before="100" w:beforeAutospacing="1" w:after="100" w:afterAutospacing="1"/>
        <w:rPr>
          <w:rFonts w:ascii="Courier" w:hAnsi="Courier"/>
          <w:color w:val="1F497D"/>
        </w:rPr>
      </w:pPr>
      <w:r>
        <w:rPr>
          <w:color w:val="1F497D"/>
        </w:rPr>
        <w:t xml:space="preserve">                </w:t>
      </w:r>
      <w:r>
        <w:rPr>
          <w:rFonts w:ascii="Courier" w:hAnsi="Courier"/>
          <w:color w:val="1F497D"/>
        </w:rPr>
        <w:t>For each Vertical Group</w:t>
      </w:r>
    </w:p>
    <w:p w:rsidR="00C82B37" w:rsidRDefault="00C82B37" w:rsidP="00C82B37">
      <w:pPr>
        <w:spacing w:before="100" w:beforeAutospacing="1" w:after="100" w:afterAutospacing="1"/>
        <w:ind w:left="1440"/>
        <w:rPr>
          <w:rFonts w:ascii="Courier" w:hAnsi="Courier"/>
          <w:color w:val="1F497D"/>
          <w:vertAlign w:val="subscript"/>
        </w:rPr>
      </w:pPr>
      <w:r>
        <w:rPr>
          <w:rFonts w:ascii="Courier" w:hAnsi="Courier"/>
          <w:color w:val="1F497D"/>
        </w:rPr>
        <w:t xml:space="preserve">If the critical reserves count is greater than 1 critical reserve per this group then,       </w:t>
      </w:r>
      <w:r>
        <w:rPr>
          <w:rFonts w:ascii="Courier" w:hAnsi="Courier"/>
          <w:color w:val="1F497D"/>
        </w:rPr>
        <w:br/>
      </w:r>
      <w:r>
        <w:rPr>
          <w:rFonts w:ascii="Courier" w:hAnsi="Courier"/>
          <w:color w:val="1F497D"/>
        </w:rPr>
        <w:br/>
        <w:t xml:space="preserve">multiply the Linear Score by a its corresponding </w:t>
      </w:r>
      <w:proofErr w:type="spellStart"/>
      <w:r>
        <w:rPr>
          <w:rFonts w:ascii="Courier" w:hAnsi="Courier"/>
          <w:color w:val="1F497D"/>
        </w:rPr>
        <w:t>K</w:t>
      </w:r>
      <w:r>
        <w:rPr>
          <w:rFonts w:ascii="Courier" w:hAnsi="Courier"/>
          <w:color w:val="1F497D"/>
          <w:vertAlign w:val="subscript"/>
        </w:rPr>
        <w:t>Vertical</w:t>
      </w:r>
      <w:proofErr w:type="spellEnd"/>
    </w:p>
    <w:p w:rsidR="00C82B37" w:rsidRDefault="00C82B37" w:rsidP="00C82B37">
      <w:pPr>
        <w:spacing w:before="100" w:beforeAutospacing="1" w:after="100" w:afterAutospacing="1"/>
        <w:rPr>
          <w:rFonts w:ascii="Courier" w:hAnsi="Courier"/>
          <w:color w:val="1F497D"/>
        </w:rPr>
      </w:pPr>
      <w:r>
        <w:rPr>
          <w:rFonts w:ascii="Courier" w:hAnsi="Courier"/>
          <w:color w:val="1F497D"/>
          <w:vertAlign w:val="subscript"/>
        </w:rPr>
        <w:t xml:space="preserve">      </w:t>
      </w:r>
      <w:r>
        <w:rPr>
          <w:rFonts w:ascii="Courier" w:hAnsi="Courier"/>
          <w:color w:val="1F497D"/>
        </w:rPr>
        <w:t>Next Vertical Group</w:t>
      </w:r>
    </w:p>
    <w:p w:rsidR="00C82B37" w:rsidRDefault="00C82B37" w:rsidP="00C82B37">
      <w:pPr>
        <w:spacing w:before="100" w:beforeAutospacing="1" w:after="100" w:afterAutospacing="1"/>
        <w:rPr>
          <w:color w:val="1F497D"/>
        </w:rPr>
      </w:pPr>
      <w:r>
        <w:rPr>
          <w:color w:val="1F497D"/>
        </w:rPr>
        <w:t>This will all result in multiplying the linear score by a factor depending on the number of critical reserves found per vertical group</w:t>
      </w:r>
    </w:p>
    <w:p w:rsidR="00C82B37" w:rsidRDefault="00C82B37" w:rsidP="00C82B37">
      <w:pPr>
        <w:spacing w:before="100" w:beforeAutospacing="1" w:after="100" w:afterAutospacing="1"/>
        <w:rPr>
          <w:color w:val="1F497D"/>
        </w:rPr>
      </w:pPr>
      <w:r>
        <w:rPr>
          <w:color w:val="1F497D"/>
        </w:rPr>
        <w:t>The below table explains this factor</w:t>
      </w:r>
    </w:p>
    <w:tbl>
      <w:tblPr>
        <w:tblW w:w="9620" w:type="dxa"/>
        <w:tblInd w:w="-23" w:type="dxa"/>
        <w:tblCellMar>
          <w:left w:w="0" w:type="dxa"/>
          <w:right w:w="0" w:type="dxa"/>
        </w:tblCellMar>
        <w:tblLook w:val="04A0" w:firstRow="1" w:lastRow="0" w:firstColumn="1" w:lastColumn="0" w:noHBand="0" w:noVBand="1"/>
      </w:tblPr>
      <w:tblGrid>
        <w:gridCol w:w="1160"/>
        <w:gridCol w:w="1540"/>
        <w:gridCol w:w="4960"/>
        <w:gridCol w:w="1960"/>
      </w:tblGrid>
      <w:tr w:rsidR="00C82B37" w:rsidTr="00C82B37">
        <w:trPr>
          <w:trHeight w:val="630"/>
        </w:trPr>
        <w:tc>
          <w:tcPr>
            <w:tcW w:w="1160" w:type="dxa"/>
            <w:tcBorders>
              <w:top w:val="single" w:sz="8" w:space="0" w:color="auto"/>
              <w:left w:val="single" w:sz="8" w:space="0" w:color="auto"/>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jc w:val="center"/>
              <w:rPr>
                <w:rFonts w:ascii="Tahoma" w:hAnsi="Tahoma" w:cs="Tahoma"/>
                <w:b/>
                <w:bCs/>
                <w:sz w:val="16"/>
                <w:szCs w:val="16"/>
              </w:rPr>
            </w:pPr>
            <w:r>
              <w:rPr>
                <w:rFonts w:ascii="Tahoma" w:hAnsi="Tahoma" w:cs="Tahoma"/>
                <w:b/>
                <w:bCs/>
                <w:sz w:val="16"/>
                <w:szCs w:val="16"/>
              </w:rPr>
              <w:t>Vertical Ceiling Group</w:t>
            </w:r>
          </w:p>
        </w:tc>
        <w:tc>
          <w:tcPr>
            <w:tcW w:w="154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jc w:val="center"/>
              <w:rPr>
                <w:rFonts w:ascii="Tahoma" w:hAnsi="Tahoma" w:cs="Tahoma"/>
                <w:b/>
                <w:bCs/>
                <w:sz w:val="16"/>
                <w:szCs w:val="16"/>
              </w:rPr>
            </w:pPr>
            <w:r>
              <w:rPr>
                <w:rFonts w:ascii="Tahoma" w:hAnsi="Tahoma" w:cs="Tahoma"/>
                <w:b/>
                <w:bCs/>
                <w:sz w:val="16"/>
                <w:szCs w:val="16"/>
              </w:rPr>
              <w:t>Class</w:t>
            </w:r>
          </w:p>
        </w:tc>
        <w:tc>
          <w:tcPr>
            <w:tcW w:w="4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jc w:val="center"/>
              <w:rPr>
                <w:rFonts w:ascii="Tahoma" w:hAnsi="Tahoma" w:cs="Tahoma"/>
                <w:b/>
                <w:bCs/>
                <w:sz w:val="16"/>
                <w:szCs w:val="16"/>
              </w:rPr>
            </w:pPr>
            <w:r>
              <w:rPr>
                <w:rFonts w:ascii="Tahoma" w:hAnsi="Tahoma" w:cs="Tahoma"/>
                <w:b/>
                <w:bCs/>
                <w:sz w:val="16"/>
                <w:szCs w:val="16"/>
              </w:rPr>
              <w:t>Sub-Class</w:t>
            </w:r>
          </w:p>
        </w:tc>
        <w:tc>
          <w:tcPr>
            <w:tcW w:w="1960" w:type="dxa"/>
            <w:tcBorders>
              <w:top w:val="single" w:sz="8" w:space="0" w:color="auto"/>
              <w:left w:val="nil"/>
              <w:bottom w:val="single" w:sz="8" w:space="0" w:color="auto"/>
              <w:right w:val="single" w:sz="8" w:space="0" w:color="auto"/>
            </w:tcBorders>
            <w:shd w:val="clear" w:color="auto" w:fill="00FF00"/>
            <w:tcMar>
              <w:top w:w="0" w:type="dxa"/>
              <w:left w:w="108" w:type="dxa"/>
              <w:bottom w:w="0" w:type="dxa"/>
              <w:right w:w="108" w:type="dxa"/>
            </w:tcMar>
            <w:vAlign w:val="center"/>
            <w:hideMark/>
          </w:tcPr>
          <w:p w:rsidR="00C82B37" w:rsidRDefault="00C82B37">
            <w:pPr>
              <w:jc w:val="center"/>
              <w:rPr>
                <w:rFonts w:ascii="Tahoma" w:hAnsi="Tahoma" w:cs="Tahoma"/>
                <w:b/>
                <w:bCs/>
                <w:sz w:val="16"/>
                <w:szCs w:val="16"/>
              </w:rPr>
            </w:pPr>
            <w:r>
              <w:rPr>
                <w:rFonts w:ascii="Tahoma" w:hAnsi="Tahoma" w:cs="Tahoma"/>
                <w:b/>
                <w:bCs/>
                <w:sz w:val="16"/>
                <w:szCs w:val="16"/>
              </w:rPr>
              <w:t>K</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Meter &amp; Main Breaker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GEDP</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Surge Arrestor</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4</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DC Boxes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5</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Rectifiers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6</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Power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Batteries / UPS / Stabilizer / Transformer / Solar Cells (PV)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lastRenderedPageBreak/>
              <w:t>7</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Cooling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A/Cs Cooling / Free Cooling / Ventilation</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8</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Fire System</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Fire Alarm and Fighting System</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9</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Equipment and DDF</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Radio Equipment and DDF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10</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Shelter Body / Main Enclosure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11</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Pylon / Palm Tree / Monopole / Masts / Side Arms</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12</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Civil</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Fence / Roof</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r w:rsidR="00C82B37" w:rsidTr="00C82B37">
        <w:trPr>
          <w:trHeight w:val="300"/>
        </w:trPr>
        <w:tc>
          <w:tcPr>
            <w:tcW w:w="11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13</w:t>
            </w:r>
          </w:p>
        </w:tc>
        <w:tc>
          <w:tcPr>
            <w:tcW w:w="15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Generator</w:t>
            </w:r>
          </w:p>
        </w:tc>
        <w:tc>
          <w:tcPr>
            <w:tcW w:w="4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rPr>
                <w:rFonts w:ascii="Tahoma" w:hAnsi="Tahoma" w:cs="Tahoma"/>
                <w:color w:val="000000"/>
                <w:sz w:val="16"/>
                <w:szCs w:val="16"/>
              </w:rPr>
            </w:pPr>
            <w:r>
              <w:rPr>
                <w:rFonts w:ascii="Tahoma" w:hAnsi="Tahoma" w:cs="Tahoma"/>
                <w:color w:val="000000"/>
                <w:sz w:val="16"/>
                <w:szCs w:val="16"/>
              </w:rPr>
              <w:t>ATS / Engine</w:t>
            </w:r>
          </w:p>
        </w:tc>
        <w:tc>
          <w:tcPr>
            <w:tcW w:w="1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0.9</w:t>
            </w:r>
          </w:p>
        </w:tc>
      </w:tr>
    </w:tbl>
    <w:p w:rsidR="00C82B37" w:rsidRDefault="00C82B37" w:rsidP="00C82B37">
      <w:pPr>
        <w:spacing w:before="100" w:beforeAutospacing="1" w:after="100" w:afterAutospacing="1"/>
        <w:rPr>
          <w:color w:val="1F497D"/>
        </w:rPr>
      </w:pPr>
      <w:r>
        <w:rPr>
          <w:color w:val="1F497D"/>
        </w:rPr>
        <w:t>Example:</w:t>
      </w:r>
    </w:p>
    <w:p w:rsidR="00C82B37" w:rsidRDefault="00C82B37" w:rsidP="00C82B37">
      <w:pPr>
        <w:spacing w:before="100" w:beforeAutospacing="1" w:after="100" w:afterAutospacing="1"/>
        <w:rPr>
          <w:color w:val="1F497D"/>
        </w:rPr>
      </w:pPr>
      <w:r>
        <w:rPr>
          <w:color w:val="1F497D"/>
        </w:rPr>
        <w:t xml:space="preserve">Let’s assume that a site has </w:t>
      </w:r>
    </w:p>
    <w:p w:rsidR="00C82B37" w:rsidRDefault="00C82B37" w:rsidP="00C82B37">
      <w:pPr>
        <w:pStyle w:val="ListParagraph"/>
        <w:numPr>
          <w:ilvl w:val="0"/>
          <w:numId w:val="2"/>
        </w:numPr>
        <w:spacing w:before="100" w:beforeAutospacing="1" w:after="100" w:afterAutospacing="1"/>
        <w:rPr>
          <w:color w:val="1F497D"/>
        </w:rPr>
      </w:pPr>
      <w:r>
        <w:rPr>
          <w:color w:val="1F497D"/>
        </w:rPr>
        <w:t xml:space="preserve">3 critical reserves in the (GEDP) </w:t>
      </w:r>
    </w:p>
    <w:p w:rsidR="00C82B37" w:rsidRDefault="00C82B37" w:rsidP="00C82B37">
      <w:pPr>
        <w:pStyle w:val="ListParagraph"/>
        <w:numPr>
          <w:ilvl w:val="0"/>
          <w:numId w:val="2"/>
        </w:numPr>
        <w:spacing w:before="100" w:beforeAutospacing="1" w:after="100" w:afterAutospacing="1"/>
        <w:rPr>
          <w:color w:val="1F497D"/>
        </w:rPr>
      </w:pPr>
      <w:r>
        <w:rPr>
          <w:color w:val="1F497D"/>
        </w:rPr>
        <w:t xml:space="preserve">4 Critical reserves in the (Surge Arrestor) </w:t>
      </w:r>
    </w:p>
    <w:p w:rsidR="00C82B37" w:rsidRDefault="00C82B37" w:rsidP="00C82B37">
      <w:pPr>
        <w:pStyle w:val="ListParagraph"/>
        <w:numPr>
          <w:ilvl w:val="0"/>
          <w:numId w:val="2"/>
        </w:numPr>
        <w:spacing w:before="100" w:beforeAutospacing="1" w:after="100" w:afterAutospacing="1"/>
        <w:rPr>
          <w:color w:val="1F497D"/>
        </w:rPr>
      </w:pPr>
      <w:r>
        <w:rPr>
          <w:color w:val="1F497D"/>
        </w:rPr>
        <w:t>1 Critical Reserve in the (Power Meter &amp; Main Breaker)</w:t>
      </w:r>
    </w:p>
    <w:p w:rsidR="00C82B37" w:rsidRDefault="00C82B37" w:rsidP="00C82B37">
      <w:pPr>
        <w:spacing w:before="100" w:beforeAutospacing="1" w:after="100" w:afterAutospacing="1"/>
        <w:rPr>
          <w:color w:val="1F497D"/>
        </w:rPr>
      </w:pPr>
      <m:oMathPara>
        <m:oMathParaPr>
          <m:jc m:val="left"/>
        </m:oMathParaPr>
        <m:oMath>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Vertical</m:t>
              </m:r>
            </m:sub>
          </m:sSub>
          <m:r>
            <w:rPr>
              <w:rFonts w:ascii="Cambria Math" w:hAnsi="Cambria Math"/>
              <w:color w:val="1F497D"/>
            </w:rPr>
            <m:t xml:space="preserve"> Score=Linear score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GEDP</m:t>
              </m:r>
            </m:sub>
          </m:sSub>
          <m:r>
            <w:rPr>
              <w:rFonts w:ascii="Cambria Math" w:hAnsi="Cambria Math"/>
              <w:color w:val="1F497D"/>
            </w:rPr>
            <m:t xml:space="preserv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Surge Arrestor</m:t>
              </m:r>
            </m:sub>
          </m:sSub>
          <m:r>
            <w:rPr>
              <w:rFonts w:ascii="Cambria Math" w:hAnsi="Cambria Math"/>
              <w:color w:val="1F497D"/>
            </w:rPr>
            <m:t>=Linear Score ×0.9 ×0.9=Linear Score ×0.81</m:t>
          </m:r>
        </m:oMath>
      </m:oMathPara>
    </w:p>
    <w:p w:rsidR="00C82B37" w:rsidRDefault="00C82B37" w:rsidP="00C82B37">
      <w:pPr>
        <w:spacing w:before="100" w:beforeAutospacing="1" w:after="100" w:afterAutospacing="1"/>
        <w:rPr>
          <w:color w:val="1F497D"/>
        </w:rPr>
      </w:pPr>
      <w:r>
        <w:rPr>
          <w:color w:val="1F497D"/>
        </w:rPr>
        <w:t>Critical Reserve in the (Power Meter &amp; Main Breaker) was neglected because it is not greater than 1</w:t>
      </w:r>
    </w:p>
    <w:p w:rsidR="00C82B37" w:rsidRDefault="00C82B37" w:rsidP="00C82B37">
      <w:pPr>
        <w:spacing w:before="100" w:beforeAutospacing="1" w:after="100" w:afterAutospacing="1"/>
        <w:rPr>
          <w:rFonts w:ascii="Trebuchet MS" w:hAnsi="Trebuchet MS"/>
          <w:b/>
          <w:bCs/>
          <w:i/>
          <w:iCs/>
          <w:color w:val="1F497D"/>
          <w:sz w:val="36"/>
          <w:szCs w:val="36"/>
        </w:rPr>
      </w:pPr>
      <w:r>
        <w:rPr>
          <w:rFonts w:ascii="Trebuchet MS" w:hAnsi="Trebuchet MS"/>
          <w:b/>
          <w:bCs/>
          <w:i/>
          <w:iCs/>
          <w:color w:val="1F497D"/>
          <w:sz w:val="36"/>
          <w:szCs w:val="36"/>
        </w:rPr>
        <w:t xml:space="preserve">Fifth Step: Multiplying the </w:t>
      </w:r>
      <w:proofErr w:type="spellStart"/>
      <w:r>
        <w:rPr>
          <w:rFonts w:ascii="Trebuchet MS" w:hAnsi="Trebuchet MS"/>
          <w:b/>
          <w:bCs/>
          <w:i/>
          <w:iCs/>
          <w:color w:val="1F497D"/>
          <w:sz w:val="36"/>
          <w:szCs w:val="36"/>
        </w:rPr>
        <w:t>K</w:t>
      </w:r>
      <w:r>
        <w:rPr>
          <w:rFonts w:ascii="Trebuchet MS" w:hAnsi="Trebuchet MS"/>
          <w:b/>
          <w:bCs/>
          <w:i/>
          <w:iCs/>
          <w:color w:val="1F497D"/>
          <w:sz w:val="36"/>
          <w:szCs w:val="36"/>
          <w:vertAlign w:val="subscript"/>
        </w:rPr>
        <w:t>Vertical</w:t>
      </w:r>
      <w:proofErr w:type="spellEnd"/>
      <w:r>
        <w:rPr>
          <w:rFonts w:ascii="Trebuchet MS" w:hAnsi="Trebuchet MS"/>
          <w:b/>
          <w:bCs/>
          <w:i/>
          <w:iCs/>
          <w:color w:val="1F497D"/>
          <w:sz w:val="36"/>
          <w:szCs w:val="36"/>
        </w:rPr>
        <w:t xml:space="preserve"> Score with the Second factor</w:t>
      </w:r>
    </w:p>
    <w:p w:rsidR="00C82B37" w:rsidRDefault="00C82B37" w:rsidP="00C82B37">
      <w:pPr>
        <w:spacing w:before="100" w:beforeAutospacing="1" w:after="100" w:afterAutospacing="1"/>
        <w:rPr>
          <w:color w:val="1F497D"/>
        </w:rPr>
      </w:pPr>
      <w:r>
        <w:rPr>
          <w:color w:val="1F497D"/>
        </w:rPr>
        <w:t>The second multiplying factor is the a factor that depends upon the number of critical reserves found</w:t>
      </w:r>
    </w:p>
    <w:p w:rsidR="00C82B37" w:rsidRDefault="00C82B37" w:rsidP="00C82B37">
      <w:pPr>
        <w:spacing w:before="100" w:beforeAutospacing="1" w:after="100" w:afterAutospacing="1"/>
        <w:rPr>
          <w:color w:val="1F497D"/>
        </w:rPr>
      </w:pPr>
      <w:r>
        <w:rPr>
          <w:color w:val="1F497D"/>
        </w:rPr>
        <w:t>Let’s assume it goes by the below table</w:t>
      </w:r>
    </w:p>
    <w:tbl>
      <w:tblPr>
        <w:tblW w:w="3480" w:type="dxa"/>
        <w:tblInd w:w="-23" w:type="dxa"/>
        <w:tblCellMar>
          <w:left w:w="0" w:type="dxa"/>
          <w:right w:w="0" w:type="dxa"/>
        </w:tblCellMar>
        <w:tblLook w:val="04A0" w:firstRow="1" w:lastRow="0" w:firstColumn="1" w:lastColumn="0" w:noHBand="0" w:noVBand="1"/>
      </w:tblPr>
      <w:tblGrid>
        <w:gridCol w:w="1582"/>
        <w:gridCol w:w="938"/>
        <w:gridCol w:w="960"/>
      </w:tblGrid>
      <w:tr w:rsidR="00C82B37" w:rsidTr="00C82B37">
        <w:trPr>
          <w:trHeight w:val="300"/>
        </w:trPr>
        <w:tc>
          <w:tcPr>
            <w:tcW w:w="2520" w:type="dxa"/>
            <w:gridSpan w:val="2"/>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C82B37" w:rsidRDefault="00C82B37">
            <w:pPr>
              <w:jc w:val="center"/>
              <w:rPr>
                <w:rFonts w:ascii="Tahoma" w:hAnsi="Tahoma" w:cs="Tahoma"/>
                <w:color w:val="000000"/>
                <w:sz w:val="16"/>
                <w:szCs w:val="16"/>
              </w:rPr>
            </w:pPr>
            <w:r>
              <w:rPr>
                <w:rFonts w:ascii="Tahoma" w:hAnsi="Tahoma" w:cs="Tahoma"/>
                <w:color w:val="000000"/>
                <w:sz w:val="16"/>
                <w:szCs w:val="16"/>
              </w:rPr>
              <w:t>Number of Critical Reserves</w:t>
            </w:r>
          </w:p>
        </w:tc>
        <w:tc>
          <w:tcPr>
            <w:tcW w:w="960" w:type="dxa"/>
            <w:vMerge w:val="restar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82B37" w:rsidRDefault="00C82B37">
            <w:pPr>
              <w:jc w:val="center"/>
              <w:rPr>
                <w:rFonts w:ascii="Tahoma" w:hAnsi="Tahoma" w:cs="Tahoma"/>
                <w:color w:val="000000"/>
                <w:sz w:val="16"/>
                <w:szCs w:val="16"/>
              </w:rPr>
            </w:pPr>
            <w:r>
              <w:rPr>
                <w:rFonts w:ascii="Tahoma" w:hAnsi="Tahoma" w:cs="Tahoma"/>
                <w:color w:val="000000"/>
                <w:sz w:val="16"/>
                <w:szCs w:val="16"/>
              </w:rPr>
              <w:t>Scoring Factor</w:t>
            </w:r>
          </w:p>
        </w:tc>
      </w:tr>
      <w:tr w:rsidR="00C82B37" w:rsidTr="00C82B37">
        <w:trPr>
          <w:trHeight w:val="300"/>
        </w:trPr>
        <w:tc>
          <w:tcPr>
            <w:tcW w:w="1582"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From</w:t>
            </w:r>
          </w:p>
        </w:tc>
        <w:tc>
          <w:tcPr>
            <w:tcW w:w="938"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To</w:t>
            </w:r>
          </w:p>
        </w:tc>
        <w:tc>
          <w:tcPr>
            <w:tcW w:w="0" w:type="auto"/>
            <w:vMerge/>
            <w:tcBorders>
              <w:top w:val="single" w:sz="8" w:space="0" w:color="auto"/>
              <w:left w:val="nil"/>
              <w:bottom w:val="single" w:sz="8" w:space="0" w:color="auto"/>
              <w:right w:val="single" w:sz="8" w:space="0" w:color="auto"/>
            </w:tcBorders>
            <w:vAlign w:val="center"/>
            <w:hideMark/>
          </w:tcPr>
          <w:p w:rsidR="00C82B37" w:rsidRDefault="00C82B37">
            <w:pPr>
              <w:rPr>
                <w:rFonts w:ascii="Tahoma" w:hAnsi="Tahoma" w:cs="Tahoma"/>
                <w:color w:val="000000"/>
                <w:sz w:val="16"/>
                <w:szCs w:val="16"/>
              </w:rPr>
            </w:pP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0</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100%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6</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80%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12</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70%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18</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60%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21</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50%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26</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40%</w:t>
            </w:r>
          </w:p>
        </w:tc>
      </w:tr>
      <w:tr w:rsidR="00C82B37" w:rsidTr="00C82B37">
        <w:trPr>
          <w:trHeight w:val="300"/>
        </w:trPr>
        <w:tc>
          <w:tcPr>
            <w:tcW w:w="15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31</w:t>
            </w:r>
          </w:p>
        </w:tc>
        <w:tc>
          <w:tcPr>
            <w:tcW w:w="9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rFonts w:ascii="Times New Roman" w:hAnsi="Times New Roman" w:cs="Times New Roman"/>
                <w:color w:val="222222"/>
                <w:sz w:val="20"/>
                <w:szCs w:val="20"/>
              </w:rPr>
            </w:pPr>
            <w:r>
              <w:rPr>
                <w:rFonts w:ascii="Times New Roman" w:hAnsi="Times New Roman" w:cs="Times New Roman"/>
                <w:color w:val="222222"/>
                <w:sz w:val="20"/>
                <w:szCs w:val="20"/>
              </w:rPr>
              <w:t>∞</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30%</w:t>
            </w:r>
          </w:p>
        </w:tc>
      </w:tr>
    </w:tbl>
    <w:p w:rsidR="00C82B37" w:rsidRDefault="00C82B37" w:rsidP="00C82B37">
      <w:pPr>
        <w:spacing w:before="100" w:beforeAutospacing="1" w:after="100" w:afterAutospacing="1"/>
        <w:rPr>
          <w:color w:val="1F497D"/>
        </w:rPr>
      </w:pPr>
      <w:r>
        <w:rPr>
          <w:color w:val="1F497D"/>
        </w:rPr>
        <w:t>Example:</w:t>
      </w:r>
    </w:p>
    <w:p w:rsidR="00C82B37" w:rsidRDefault="00C82B37" w:rsidP="00C82B37">
      <w:pPr>
        <w:spacing w:before="100" w:beforeAutospacing="1" w:after="100" w:afterAutospacing="1"/>
        <w:rPr>
          <w:color w:val="1F497D"/>
        </w:rPr>
      </w:pPr>
      <w:r>
        <w:rPr>
          <w:color w:val="1F497D"/>
        </w:rPr>
        <w:t xml:space="preserve">Let’s assume the same site in the </w:t>
      </w:r>
      <w:proofErr w:type="spellStart"/>
      <w:r>
        <w:rPr>
          <w:color w:val="1F497D"/>
        </w:rPr>
        <w:t>KVertical</w:t>
      </w:r>
      <w:proofErr w:type="spellEnd"/>
      <w:r>
        <w:rPr>
          <w:color w:val="1F497D"/>
        </w:rPr>
        <w:t xml:space="preserve"> Example which has </w:t>
      </w:r>
    </w:p>
    <w:p w:rsidR="00C82B37" w:rsidRDefault="00C82B37" w:rsidP="00C82B37">
      <w:pPr>
        <w:pStyle w:val="ListParagraph"/>
        <w:numPr>
          <w:ilvl w:val="0"/>
          <w:numId w:val="2"/>
        </w:numPr>
        <w:spacing w:before="100" w:beforeAutospacing="1" w:after="100" w:afterAutospacing="1"/>
        <w:rPr>
          <w:color w:val="1F497D"/>
        </w:rPr>
      </w:pPr>
      <w:r>
        <w:rPr>
          <w:color w:val="1F497D"/>
        </w:rPr>
        <w:lastRenderedPageBreak/>
        <w:t xml:space="preserve">3 critical reserves in the (GEDP) </w:t>
      </w:r>
    </w:p>
    <w:p w:rsidR="00C82B37" w:rsidRDefault="00C82B37" w:rsidP="00C82B37">
      <w:pPr>
        <w:pStyle w:val="ListParagraph"/>
        <w:numPr>
          <w:ilvl w:val="0"/>
          <w:numId w:val="2"/>
        </w:numPr>
        <w:spacing w:before="100" w:beforeAutospacing="1" w:after="100" w:afterAutospacing="1"/>
        <w:rPr>
          <w:color w:val="1F497D"/>
        </w:rPr>
      </w:pPr>
      <w:r>
        <w:rPr>
          <w:color w:val="1F497D"/>
        </w:rPr>
        <w:t xml:space="preserve">4 Critical reserves in the (Surge Arrestor) </w:t>
      </w:r>
    </w:p>
    <w:p w:rsidR="00C82B37" w:rsidRDefault="00C82B37" w:rsidP="00C82B37">
      <w:pPr>
        <w:pStyle w:val="ListParagraph"/>
        <w:numPr>
          <w:ilvl w:val="0"/>
          <w:numId w:val="2"/>
        </w:numPr>
        <w:spacing w:before="100" w:beforeAutospacing="1" w:after="100" w:afterAutospacing="1"/>
        <w:rPr>
          <w:color w:val="1F497D"/>
        </w:rPr>
      </w:pPr>
      <w:r>
        <w:rPr>
          <w:color w:val="1F497D"/>
        </w:rPr>
        <w:t>1 Critical Reserve in the (Power Meter &amp; Main Breaker)</w:t>
      </w:r>
    </w:p>
    <w:p w:rsidR="00C82B37" w:rsidRDefault="00C82B37" w:rsidP="00C82B37">
      <w:pPr>
        <w:spacing w:before="100" w:beforeAutospacing="1" w:after="100" w:afterAutospacing="1"/>
        <w:rPr>
          <w:color w:val="1F497D"/>
        </w:rPr>
      </w:pPr>
      <w:r>
        <w:rPr>
          <w:color w:val="1F497D"/>
        </w:rPr>
        <w:t>Total Number of Critical reserves = 7</w:t>
      </w:r>
    </w:p>
    <w:p w:rsidR="00C82B37" w:rsidRDefault="00C82B37" w:rsidP="00C82B37">
      <w:pPr>
        <w:spacing w:before="100" w:beforeAutospacing="1" w:after="100" w:afterAutospacing="1"/>
        <w:rPr>
          <w:color w:val="1F497D"/>
        </w:rPr>
      </w:pPr>
      <m:oMathPara>
        <m:oMathParaPr>
          <m:jc m:val="left"/>
        </m:oMathParaPr>
        <m:oMath>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Critical Resrves</m:t>
              </m:r>
            </m:sub>
          </m:sSub>
          <m:r>
            <w:rPr>
              <w:rFonts w:ascii="Cambria Math" w:hAnsi="Cambria Math"/>
              <w:color w:val="1F497D"/>
            </w:rPr>
            <m:t>=80%</m:t>
          </m:r>
        </m:oMath>
      </m:oMathPara>
    </w:p>
    <w:p w:rsidR="00C82B37" w:rsidRDefault="00C82B37" w:rsidP="00C82B37">
      <w:pPr>
        <w:spacing w:before="100" w:beforeAutospacing="1" w:after="100" w:afterAutospacing="1"/>
        <w:rPr>
          <w:color w:val="1F497D"/>
        </w:rPr>
      </w:pPr>
      <m:oMathPara>
        <m:oMathParaPr>
          <m:jc m:val="left"/>
        </m:oMathParaPr>
        <m:oMath>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Critical Reserves</m:t>
              </m:r>
            </m:sub>
          </m:sSub>
          <m:r>
            <w:rPr>
              <w:rFonts w:ascii="Cambria Math" w:hAnsi="Cambria Math"/>
              <w:color w:val="1F497D"/>
            </w:rPr>
            <m:t xml:space="preserve"> Score=Linear Score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Vertical</m:t>
              </m:r>
            </m:sub>
          </m:sSub>
          <m:r>
            <w:rPr>
              <w:rFonts w:ascii="Cambria Math" w:hAnsi="Cambria Math"/>
              <w:color w:val="1F497D"/>
            </w:rPr>
            <m:t xml:space="preserv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Critical Reserves</m:t>
              </m:r>
            </m:sub>
          </m:sSub>
        </m:oMath>
      </m:oMathPara>
    </w:p>
    <w:p w:rsidR="00C82B37" w:rsidRDefault="00C82B37" w:rsidP="00C82B37">
      <w:pPr>
        <w:spacing w:before="100" w:beforeAutospacing="1" w:after="100" w:afterAutospacing="1"/>
        <w:rPr>
          <w:rFonts w:ascii="Trebuchet MS" w:hAnsi="Trebuchet MS"/>
          <w:b/>
          <w:bCs/>
          <w:i/>
          <w:iCs/>
          <w:color w:val="1F497D"/>
          <w:sz w:val="36"/>
          <w:szCs w:val="36"/>
        </w:rPr>
      </w:pPr>
      <w:r>
        <w:rPr>
          <w:rFonts w:ascii="Trebuchet MS" w:hAnsi="Trebuchet MS"/>
          <w:b/>
          <w:bCs/>
          <w:i/>
          <w:iCs/>
          <w:color w:val="1F497D"/>
          <w:sz w:val="36"/>
          <w:szCs w:val="36"/>
        </w:rPr>
        <w:t xml:space="preserve">Sixth Step: Multiplying the </w:t>
      </w:r>
      <w:proofErr w:type="spellStart"/>
      <w:r>
        <w:rPr>
          <w:rFonts w:ascii="Trebuchet MS" w:hAnsi="Trebuchet MS"/>
          <w:b/>
          <w:bCs/>
          <w:i/>
          <w:iCs/>
          <w:color w:val="1F497D"/>
          <w:sz w:val="36"/>
          <w:szCs w:val="36"/>
        </w:rPr>
        <w:t>K</w:t>
      </w:r>
      <w:r>
        <w:rPr>
          <w:rFonts w:ascii="Trebuchet MS" w:hAnsi="Trebuchet MS"/>
          <w:b/>
          <w:bCs/>
          <w:i/>
          <w:iCs/>
          <w:color w:val="1F497D"/>
          <w:sz w:val="36"/>
          <w:szCs w:val="36"/>
          <w:vertAlign w:val="subscript"/>
        </w:rPr>
        <w:t>Critical</w:t>
      </w:r>
      <w:proofErr w:type="spellEnd"/>
      <w:r>
        <w:rPr>
          <w:rFonts w:ascii="Trebuchet MS" w:hAnsi="Trebuchet MS"/>
          <w:b/>
          <w:bCs/>
          <w:i/>
          <w:iCs/>
          <w:color w:val="1F497D"/>
          <w:sz w:val="36"/>
          <w:szCs w:val="36"/>
          <w:vertAlign w:val="subscript"/>
        </w:rPr>
        <w:t xml:space="preserve"> Reserves</w:t>
      </w:r>
      <w:r>
        <w:rPr>
          <w:rFonts w:ascii="Trebuchet MS" w:hAnsi="Trebuchet MS"/>
          <w:b/>
          <w:bCs/>
          <w:i/>
          <w:iCs/>
          <w:color w:val="1F497D"/>
          <w:sz w:val="36"/>
          <w:szCs w:val="36"/>
        </w:rPr>
        <w:t xml:space="preserve"> Score with the Third factor</w:t>
      </w:r>
    </w:p>
    <w:p w:rsidR="00C82B37" w:rsidRDefault="00C82B37" w:rsidP="00C82B37">
      <w:pPr>
        <w:spacing w:before="100" w:beforeAutospacing="1" w:after="100" w:afterAutospacing="1"/>
        <w:rPr>
          <w:color w:val="1F497D"/>
        </w:rPr>
      </w:pPr>
      <w:r>
        <w:rPr>
          <w:color w:val="1F497D"/>
        </w:rPr>
        <w:t xml:space="preserve">The third multiplying factor is </w:t>
      </w:r>
      <w:proofErr w:type="gramStart"/>
      <w:r>
        <w:rPr>
          <w:color w:val="1F497D"/>
        </w:rPr>
        <w:t>the a</w:t>
      </w:r>
      <w:proofErr w:type="gramEnd"/>
      <w:r>
        <w:rPr>
          <w:color w:val="1F497D"/>
        </w:rPr>
        <w:t xml:space="preserve"> factor that depends upon the number of all reserves found.</w:t>
      </w:r>
      <w:r>
        <w:rPr>
          <w:color w:val="1F497D"/>
        </w:rPr>
        <w:br/>
      </w:r>
      <w:proofErr w:type="gramStart"/>
      <w:r>
        <w:rPr>
          <w:color w:val="1F497D"/>
        </w:rPr>
        <w:t>that</w:t>
      </w:r>
      <w:proofErr w:type="gramEnd"/>
      <w:r>
        <w:rPr>
          <w:color w:val="1F497D"/>
        </w:rPr>
        <w:t xml:space="preserve"> way, other non-critical reserves have been taken into consideration</w:t>
      </w:r>
    </w:p>
    <w:p w:rsidR="00C82B37" w:rsidRDefault="00C82B37" w:rsidP="00C82B37">
      <w:pPr>
        <w:spacing w:before="100" w:beforeAutospacing="1" w:after="100" w:afterAutospacing="1"/>
        <w:rPr>
          <w:color w:val="1F497D"/>
        </w:rPr>
      </w:pPr>
      <w:r>
        <w:rPr>
          <w:color w:val="1F497D"/>
        </w:rPr>
        <w:t>Let’s assume it goes by the below table</w:t>
      </w:r>
    </w:p>
    <w:tbl>
      <w:tblPr>
        <w:tblW w:w="2880" w:type="dxa"/>
        <w:tblInd w:w="-23" w:type="dxa"/>
        <w:tblCellMar>
          <w:left w:w="0" w:type="dxa"/>
          <w:right w:w="0" w:type="dxa"/>
        </w:tblCellMar>
        <w:tblLook w:val="04A0" w:firstRow="1" w:lastRow="0" w:firstColumn="1" w:lastColumn="0" w:noHBand="0" w:noVBand="1"/>
      </w:tblPr>
      <w:tblGrid>
        <w:gridCol w:w="1205"/>
        <w:gridCol w:w="715"/>
        <w:gridCol w:w="960"/>
      </w:tblGrid>
      <w:tr w:rsidR="00C82B37" w:rsidTr="00C82B37">
        <w:trPr>
          <w:trHeight w:val="300"/>
        </w:trPr>
        <w:tc>
          <w:tcPr>
            <w:tcW w:w="1920" w:type="dxa"/>
            <w:gridSpan w:val="2"/>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C82B37" w:rsidRDefault="00C82B37">
            <w:pPr>
              <w:jc w:val="center"/>
              <w:rPr>
                <w:rFonts w:ascii="Tahoma" w:hAnsi="Tahoma" w:cs="Tahoma"/>
                <w:color w:val="000000"/>
                <w:sz w:val="16"/>
                <w:szCs w:val="16"/>
              </w:rPr>
            </w:pPr>
            <w:r>
              <w:rPr>
                <w:rFonts w:ascii="Tahoma" w:hAnsi="Tahoma" w:cs="Tahoma"/>
                <w:color w:val="000000"/>
                <w:sz w:val="16"/>
                <w:szCs w:val="16"/>
              </w:rPr>
              <w:t>Number of All Reserves</w:t>
            </w:r>
          </w:p>
        </w:tc>
        <w:tc>
          <w:tcPr>
            <w:tcW w:w="960" w:type="dxa"/>
            <w:vMerge w:val="restar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82B37" w:rsidRDefault="00C82B37">
            <w:pPr>
              <w:jc w:val="center"/>
              <w:rPr>
                <w:rFonts w:ascii="Tahoma" w:hAnsi="Tahoma" w:cs="Tahoma"/>
                <w:color w:val="000000"/>
                <w:sz w:val="16"/>
                <w:szCs w:val="16"/>
              </w:rPr>
            </w:pPr>
            <w:r>
              <w:rPr>
                <w:rFonts w:ascii="Tahoma" w:hAnsi="Tahoma" w:cs="Tahoma"/>
                <w:color w:val="000000"/>
                <w:sz w:val="16"/>
                <w:szCs w:val="16"/>
              </w:rPr>
              <w:t>Scoring Factor</w:t>
            </w:r>
          </w:p>
        </w:tc>
      </w:tr>
      <w:tr w:rsidR="00C82B37" w:rsidTr="00C82B37">
        <w:trPr>
          <w:trHeight w:val="300"/>
        </w:trPr>
        <w:tc>
          <w:tcPr>
            <w:tcW w:w="1205"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From</w:t>
            </w:r>
          </w:p>
        </w:tc>
        <w:tc>
          <w:tcPr>
            <w:tcW w:w="71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rsidR="00C82B37" w:rsidRDefault="00C82B37">
            <w:pPr>
              <w:jc w:val="center"/>
              <w:rPr>
                <w:rFonts w:ascii="Tahoma" w:hAnsi="Tahoma" w:cs="Tahoma"/>
                <w:color w:val="000000"/>
                <w:sz w:val="16"/>
                <w:szCs w:val="16"/>
              </w:rPr>
            </w:pPr>
            <w:r>
              <w:rPr>
                <w:rFonts w:ascii="Tahoma" w:hAnsi="Tahoma" w:cs="Tahoma"/>
                <w:color w:val="000000"/>
                <w:sz w:val="16"/>
                <w:szCs w:val="16"/>
              </w:rPr>
              <w:t>To</w:t>
            </w:r>
          </w:p>
        </w:tc>
        <w:tc>
          <w:tcPr>
            <w:tcW w:w="0" w:type="auto"/>
            <w:vMerge/>
            <w:tcBorders>
              <w:top w:val="single" w:sz="8" w:space="0" w:color="auto"/>
              <w:left w:val="nil"/>
              <w:bottom w:val="single" w:sz="8" w:space="0" w:color="auto"/>
              <w:right w:val="single" w:sz="8" w:space="0" w:color="auto"/>
            </w:tcBorders>
            <w:vAlign w:val="center"/>
            <w:hideMark/>
          </w:tcPr>
          <w:p w:rsidR="00C82B37" w:rsidRDefault="00C82B37">
            <w:pPr>
              <w:rPr>
                <w:rFonts w:ascii="Tahoma" w:hAnsi="Tahoma" w:cs="Tahoma"/>
                <w:color w:val="000000"/>
                <w:sz w:val="16"/>
                <w:szCs w:val="16"/>
              </w:rPr>
            </w:pP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0</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100%</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7</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90%</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9</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85%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18</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75%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21</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65%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26</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55%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31</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45%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36</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35%</w:t>
            </w:r>
          </w:p>
        </w:tc>
      </w:tr>
      <w:tr w:rsidR="00C82B37" w:rsidTr="00C82B37">
        <w:trPr>
          <w:trHeight w:val="300"/>
        </w:trPr>
        <w:tc>
          <w:tcPr>
            <w:tcW w:w="120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41</w:t>
            </w:r>
          </w:p>
        </w:tc>
        <w:tc>
          <w:tcPr>
            <w:tcW w:w="7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rFonts w:ascii="Times New Roman" w:hAnsi="Times New Roman" w:cs="Times New Roman"/>
                <w:color w:val="222222"/>
                <w:sz w:val="20"/>
                <w:szCs w:val="20"/>
              </w:rPr>
            </w:pPr>
            <w:r>
              <w:rPr>
                <w:rFonts w:ascii="Times New Roman" w:hAnsi="Times New Roman" w:cs="Times New Roman"/>
                <w:color w:val="222222"/>
                <w:sz w:val="20"/>
                <w:szCs w:val="20"/>
              </w:rPr>
              <w:t>∞</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82B37" w:rsidRDefault="00C82B37">
            <w:pPr>
              <w:jc w:val="center"/>
              <w:rPr>
                <w:color w:val="000000"/>
                <w:sz w:val="20"/>
                <w:szCs w:val="20"/>
              </w:rPr>
            </w:pPr>
            <w:r>
              <w:rPr>
                <w:color w:val="000000"/>
                <w:sz w:val="20"/>
                <w:szCs w:val="20"/>
              </w:rPr>
              <w:t>25%</w:t>
            </w:r>
          </w:p>
        </w:tc>
      </w:tr>
    </w:tbl>
    <w:p w:rsidR="00C82B37" w:rsidRDefault="00C82B37" w:rsidP="00C82B37">
      <w:pPr>
        <w:spacing w:before="100" w:beforeAutospacing="1" w:after="100" w:afterAutospacing="1"/>
        <w:rPr>
          <w:color w:val="1F497D"/>
        </w:rPr>
      </w:pPr>
      <w:r>
        <w:rPr>
          <w:color w:val="1F497D"/>
        </w:rPr>
        <w:t xml:space="preserve">Let’s assume that the previously mentioned site has </w:t>
      </w:r>
    </w:p>
    <w:p w:rsidR="00C82B37" w:rsidRDefault="00C82B37" w:rsidP="00C82B37">
      <w:pPr>
        <w:pStyle w:val="ListParagraph"/>
        <w:numPr>
          <w:ilvl w:val="0"/>
          <w:numId w:val="2"/>
        </w:numPr>
        <w:spacing w:before="100" w:beforeAutospacing="1" w:after="100" w:afterAutospacing="1"/>
        <w:rPr>
          <w:color w:val="1F497D"/>
        </w:rPr>
      </w:pPr>
      <w:r>
        <w:rPr>
          <w:color w:val="1F497D"/>
        </w:rPr>
        <w:t>8 Critical Reserves</w:t>
      </w:r>
    </w:p>
    <w:p w:rsidR="00C82B37" w:rsidRDefault="00C82B37" w:rsidP="00C82B37">
      <w:pPr>
        <w:pStyle w:val="ListParagraph"/>
        <w:numPr>
          <w:ilvl w:val="0"/>
          <w:numId w:val="2"/>
        </w:numPr>
        <w:spacing w:before="100" w:beforeAutospacing="1" w:after="100" w:afterAutospacing="1"/>
        <w:rPr>
          <w:color w:val="1F497D"/>
        </w:rPr>
      </w:pPr>
      <w:r>
        <w:rPr>
          <w:color w:val="1F497D"/>
        </w:rPr>
        <w:t>14 Major Reserves</w:t>
      </w:r>
    </w:p>
    <w:p w:rsidR="00C82B37" w:rsidRDefault="00C82B37" w:rsidP="00C82B37">
      <w:pPr>
        <w:pStyle w:val="ListParagraph"/>
        <w:numPr>
          <w:ilvl w:val="0"/>
          <w:numId w:val="2"/>
        </w:numPr>
        <w:spacing w:before="100" w:beforeAutospacing="1" w:after="100" w:afterAutospacing="1"/>
        <w:rPr>
          <w:color w:val="1F497D"/>
        </w:rPr>
      </w:pPr>
      <w:r>
        <w:rPr>
          <w:color w:val="1F497D"/>
        </w:rPr>
        <w:t>11 Minor Reserves</w:t>
      </w:r>
    </w:p>
    <w:p w:rsidR="00C82B37" w:rsidRDefault="00C82B37" w:rsidP="00C82B37">
      <w:pPr>
        <w:spacing w:before="100" w:beforeAutospacing="1" w:after="100" w:afterAutospacing="1"/>
        <w:rPr>
          <w:color w:val="1F497D"/>
        </w:rPr>
      </w:pPr>
      <w:r>
        <w:rPr>
          <w:color w:val="1F497D"/>
        </w:rPr>
        <w:t>Total = 33 reserves</w:t>
      </w:r>
    </w:p>
    <w:p w:rsidR="00C82B37" w:rsidRDefault="00C82B37" w:rsidP="00C82B37">
      <w:pPr>
        <w:spacing w:before="100" w:beforeAutospacing="1" w:after="100" w:afterAutospacing="1"/>
        <w:rPr>
          <w:color w:val="1F497D"/>
        </w:rPr>
      </w:pPr>
      <m:oMathPara>
        <m:oMathParaPr>
          <m:jc m:val="left"/>
        </m:oMathParaPr>
        <m:oMath>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All Reserves</m:t>
              </m:r>
            </m:sub>
          </m:sSub>
          <m:r>
            <w:rPr>
              <w:rFonts w:ascii="Cambria Math" w:hAnsi="Cambria Math"/>
              <w:color w:val="1F497D"/>
            </w:rPr>
            <m:t>=45%</m:t>
          </m:r>
        </m:oMath>
      </m:oMathPara>
    </w:p>
    <w:p w:rsidR="00C82B37" w:rsidRDefault="00C82B37" w:rsidP="00C82B37">
      <w:pPr>
        <w:spacing w:before="100" w:beforeAutospacing="1" w:after="100" w:afterAutospacing="1"/>
        <w:rPr>
          <w:rFonts w:ascii="Trebuchet MS" w:hAnsi="Trebuchet MS"/>
          <w:b/>
          <w:bCs/>
          <w:i/>
          <w:iCs/>
          <w:color w:val="1F497D"/>
          <w:sz w:val="36"/>
          <w:szCs w:val="36"/>
        </w:rPr>
      </w:pPr>
      <w:r>
        <w:rPr>
          <w:rFonts w:ascii="Trebuchet MS" w:hAnsi="Trebuchet MS"/>
          <w:b/>
          <w:bCs/>
          <w:i/>
          <w:iCs/>
          <w:color w:val="1F497D"/>
          <w:sz w:val="36"/>
          <w:szCs w:val="36"/>
        </w:rPr>
        <w:t>Site Score</w:t>
      </w:r>
    </w:p>
    <w:p w:rsidR="00C82B37" w:rsidRDefault="00C82B37" w:rsidP="00C82B37">
      <w:pPr>
        <w:spacing w:before="100" w:beforeAutospacing="1" w:after="100" w:afterAutospacing="1"/>
        <w:rPr>
          <w:color w:val="1F497D"/>
        </w:rPr>
      </w:pPr>
      <w:r>
        <w:rPr>
          <w:color w:val="1F497D"/>
        </w:rPr>
        <w:t>The final score can be easily explained in the below equation</w:t>
      </w:r>
    </w:p>
    <w:p w:rsidR="00C82B37" w:rsidRDefault="00C82B37" w:rsidP="00C82B37">
      <w:pPr>
        <w:spacing w:before="100" w:beforeAutospacing="1" w:after="100" w:afterAutospacing="1"/>
        <w:rPr>
          <w:color w:val="1F497D"/>
        </w:rPr>
      </w:pPr>
      <m:oMathPara>
        <m:oMathParaPr>
          <m:jc m:val="left"/>
        </m:oMathParaPr>
        <m:oMath>
          <m:r>
            <w:rPr>
              <w:rFonts w:ascii="Cambria Math" w:hAnsi="Cambria Math"/>
              <w:color w:val="1F497D"/>
            </w:rPr>
            <w:lastRenderedPageBreak/>
            <m:t xml:space="preserve">Site Score=Linear Score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Vertical</m:t>
              </m:r>
            </m:sub>
          </m:sSub>
          <m:r>
            <w:rPr>
              <w:rFonts w:ascii="Cambria Math" w:hAnsi="Cambria Math"/>
              <w:color w:val="1F497D"/>
            </w:rPr>
            <m:t xml:space="preserv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Critical Reserves</m:t>
              </m:r>
            </m:sub>
          </m:sSub>
          <m:r>
            <w:rPr>
              <w:rFonts w:ascii="Cambria Math" w:hAnsi="Cambria Math"/>
              <w:color w:val="1F497D"/>
            </w:rPr>
            <m:t xml:space="preserve"> × </m:t>
          </m:r>
          <m:sSub>
            <m:sSubPr>
              <m:ctrlPr>
                <w:rPr>
                  <w:rFonts w:ascii="Cambria Math" w:hAnsi="Cambria Math"/>
                  <w:i/>
                  <w:iCs/>
                  <w:color w:val="1F497D"/>
                </w:rPr>
              </m:ctrlPr>
            </m:sSubPr>
            <m:e>
              <m:r>
                <w:rPr>
                  <w:rFonts w:ascii="Cambria Math" w:hAnsi="Cambria Math"/>
                  <w:color w:val="1F497D"/>
                </w:rPr>
                <m:t>K</m:t>
              </m:r>
            </m:e>
            <m:sub>
              <m:r>
                <w:rPr>
                  <w:rFonts w:ascii="Cambria Math" w:hAnsi="Cambria Math"/>
                  <w:color w:val="1F497D"/>
                </w:rPr>
                <m:t>All Reserves</m:t>
              </m:r>
            </m:sub>
          </m:sSub>
        </m:oMath>
      </m:oMathPara>
    </w:p>
    <w:p w:rsidR="00C82B37" w:rsidRDefault="00C82B37" w:rsidP="00C82B37">
      <w:pPr>
        <w:spacing w:before="100" w:beforeAutospacing="1" w:after="100" w:afterAutospacing="1"/>
        <w:rPr>
          <w:color w:val="1F497D"/>
        </w:rPr>
      </w:pPr>
      <w:r>
        <w:rPr>
          <w:color w:val="1F497D"/>
        </w:rPr>
        <w:t>Assuming that the linear score in the previous example was 95% then the score will be</w:t>
      </w:r>
    </w:p>
    <w:p w:rsidR="00C82B37" w:rsidRDefault="00C82B37" w:rsidP="00C82B37">
      <w:pPr>
        <w:spacing w:before="100" w:beforeAutospacing="1" w:after="100" w:afterAutospacing="1"/>
        <w:rPr>
          <w:color w:val="1F497D"/>
        </w:rPr>
      </w:pPr>
      <m:oMathPara>
        <m:oMathParaPr>
          <m:jc m:val="left"/>
        </m:oMathParaPr>
        <m:oMath>
          <m:r>
            <w:rPr>
              <w:rFonts w:ascii="Cambria Math" w:hAnsi="Cambria Math"/>
              <w:color w:val="1F497D"/>
            </w:rPr>
            <m:t>Site Score=95% × 81% × 80% × 45%=27.7%</m:t>
          </m:r>
        </m:oMath>
      </m:oMathPara>
    </w:p>
    <w:p w:rsidR="008A46B4" w:rsidRDefault="008A46B4"/>
    <w:sectPr w:rsidR="008A4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5628F"/>
    <w:multiLevelType w:val="hybridMultilevel"/>
    <w:tmpl w:val="9F7E460E"/>
    <w:lvl w:ilvl="0" w:tplc="5F4EA4B0">
      <w:start w:val="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A8"/>
    <w:rsid w:val="00432BA8"/>
    <w:rsid w:val="008A46B4"/>
    <w:rsid w:val="00C82B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C090"/>
  <w15:chartTrackingRefBased/>
  <w15:docId w15:val="{B5E4663C-8233-4DC0-A0D3-03D5A50CB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B37"/>
    <w:pPr>
      <w:spacing w:after="0" w:line="240" w:lineRule="auto"/>
    </w:pPr>
    <w:rPr>
      <w:rFonts w:ascii="Calibri" w:eastAsia="MS PGothic" w:hAnsi="Calibri" w:cs="Calibri"/>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82B37"/>
    <w:rPr>
      <w:color w:val="0000FF"/>
      <w:u w:val="single"/>
    </w:rPr>
  </w:style>
  <w:style w:type="character" w:styleId="FollowedHyperlink">
    <w:name w:val="FollowedHyperlink"/>
    <w:basedOn w:val="DefaultParagraphFont"/>
    <w:uiPriority w:val="99"/>
    <w:semiHidden/>
    <w:unhideWhenUsed/>
    <w:rsid w:val="00C82B37"/>
    <w:rPr>
      <w:color w:val="800080"/>
      <w:u w:val="single"/>
    </w:rPr>
  </w:style>
  <w:style w:type="paragraph" w:styleId="HTMLPreformatted">
    <w:name w:val="HTML Preformatted"/>
    <w:basedOn w:val="Normal"/>
    <w:link w:val="HTMLPreformattedChar"/>
    <w:uiPriority w:val="99"/>
    <w:semiHidden/>
    <w:unhideWhenUsed/>
    <w:rsid w:val="00C8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szCs w:val="24"/>
    </w:rPr>
  </w:style>
  <w:style w:type="character" w:customStyle="1" w:styleId="HTMLPreformattedChar">
    <w:name w:val="HTML Preformatted Char"/>
    <w:basedOn w:val="DefaultParagraphFont"/>
    <w:link w:val="HTMLPreformatted"/>
    <w:uiPriority w:val="99"/>
    <w:semiHidden/>
    <w:rsid w:val="00C82B37"/>
    <w:rPr>
      <w:rFonts w:ascii="MS Gothic" w:eastAsia="MS Gothic" w:hAnsi="MS Gothic" w:cs="MS Gothic"/>
      <w:sz w:val="24"/>
      <w:szCs w:val="24"/>
      <w:lang w:eastAsia="ja-JP"/>
    </w:rPr>
  </w:style>
  <w:style w:type="paragraph" w:customStyle="1" w:styleId="msonormal0">
    <w:name w:val="msonormal"/>
    <w:basedOn w:val="Normal"/>
    <w:rsid w:val="00C82B37"/>
    <w:pPr>
      <w:spacing w:before="100" w:beforeAutospacing="1" w:after="100" w:afterAutospacing="1"/>
    </w:pPr>
    <w:rPr>
      <w:rFonts w:ascii="MS PGothic" w:hAnsi="MS PGothic" w:cs="MS PGothic"/>
      <w:sz w:val="24"/>
      <w:szCs w:val="24"/>
    </w:rPr>
  </w:style>
  <w:style w:type="paragraph" w:styleId="BalloonText">
    <w:name w:val="Balloon Text"/>
    <w:basedOn w:val="Normal"/>
    <w:link w:val="BalloonTextChar"/>
    <w:uiPriority w:val="99"/>
    <w:semiHidden/>
    <w:unhideWhenUsed/>
    <w:rsid w:val="00C82B37"/>
    <w:rPr>
      <w:rFonts w:ascii="Tahoma" w:hAnsi="Tahoma" w:cs="Tahoma"/>
      <w:sz w:val="16"/>
      <w:szCs w:val="16"/>
    </w:rPr>
  </w:style>
  <w:style w:type="character" w:customStyle="1" w:styleId="BalloonTextChar">
    <w:name w:val="Balloon Text Char"/>
    <w:basedOn w:val="DefaultParagraphFont"/>
    <w:link w:val="BalloonText"/>
    <w:uiPriority w:val="99"/>
    <w:semiHidden/>
    <w:rsid w:val="00C82B37"/>
    <w:rPr>
      <w:rFonts w:ascii="Tahoma" w:eastAsia="MS PGothic" w:hAnsi="Tahoma" w:cs="Tahoma"/>
      <w:sz w:val="16"/>
      <w:szCs w:val="16"/>
      <w:lang w:eastAsia="ja-JP"/>
    </w:rPr>
  </w:style>
  <w:style w:type="paragraph" w:styleId="ListParagraph">
    <w:name w:val="List Paragraph"/>
    <w:basedOn w:val="Normal"/>
    <w:uiPriority w:val="34"/>
    <w:qFormat/>
    <w:rsid w:val="00C82B37"/>
    <w:pPr>
      <w:ind w:left="720"/>
    </w:pPr>
  </w:style>
  <w:style w:type="character" w:styleId="PlaceholderText">
    <w:name w:val="Placeholder Text"/>
    <w:basedOn w:val="DefaultParagraphFont"/>
    <w:uiPriority w:val="99"/>
    <w:semiHidden/>
    <w:rsid w:val="00C82B37"/>
    <w:rPr>
      <w:color w:val="808080"/>
    </w:rPr>
  </w:style>
  <w:style w:type="character" w:customStyle="1" w:styleId="emailstyle22">
    <w:name w:val="emailstyle22"/>
    <w:basedOn w:val="DefaultParagraphFont"/>
    <w:semiHidden/>
    <w:rsid w:val="00C82B37"/>
    <w:rPr>
      <w:rFonts w:ascii="Calibri" w:hAnsi="Calibri" w:cs="Calibri" w:hint="default"/>
      <w:color w:val="auto"/>
    </w:rPr>
  </w:style>
  <w:style w:type="character" w:customStyle="1" w:styleId="emailstyle23">
    <w:name w:val="emailstyle23"/>
    <w:basedOn w:val="DefaultParagraphFont"/>
    <w:semiHidden/>
    <w:rsid w:val="00C82B37"/>
    <w:rPr>
      <w:rFonts w:ascii="Calibri" w:hAnsi="Calibri" w:cs="Calibri" w:hint="default"/>
      <w:color w:val="1F497D"/>
    </w:rPr>
  </w:style>
  <w:style w:type="character" w:customStyle="1" w:styleId="emailstyle24">
    <w:name w:val="emailstyle24"/>
    <w:basedOn w:val="DefaultParagraphFont"/>
    <w:semiHidden/>
    <w:rsid w:val="00C82B37"/>
    <w:rPr>
      <w:rFonts w:ascii="Calibri" w:hAnsi="Calibri" w:cs="Calibri" w:hint="default"/>
      <w:color w:val="1F497D"/>
    </w:rPr>
  </w:style>
  <w:style w:type="character" w:customStyle="1" w:styleId="emailstyle25">
    <w:name w:val="emailstyle25"/>
    <w:basedOn w:val="DefaultParagraphFont"/>
    <w:semiHidden/>
    <w:rsid w:val="00C82B37"/>
    <w:rPr>
      <w:rFonts w:ascii="Segoe UI" w:hAnsi="Segoe UI" w:cs="Segoe UI" w:hint="default"/>
      <w:color w:val="auto"/>
    </w:rPr>
  </w:style>
  <w:style w:type="character" w:customStyle="1" w:styleId="emailstyle26">
    <w:name w:val="emailstyle26"/>
    <w:basedOn w:val="DefaultParagraphFont"/>
    <w:semiHidden/>
    <w:rsid w:val="00C82B37"/>
    <w:rPr>
      <w:rFonts w:ascii="Segoe UI" w:hAnsi="Segoe UI" w:cs="Segoe UI" w:hint="default"/>
      <w:color w:val="auto"/>
    </w:rPr>
  </w:style>
  <w:style w:type="character" w:customStyle="1" w:styleId="emailstyle27">
    <w:name w:val="emailstyle27"/>
    <w:basedOn w:val="DefaultParagraphFont"/>
    <w:semiHidden/>
    <w:rsid w:val="00C82B37"/>
    <w:rPr>
      <w:rFonts w:ascii="Segoe UI" w:hAnsi="Segoe UI" w:cs="Segoe UI" w:hint="default"/>
      <w:color w:val="auto"/>
    </w:rPr>
  </w:style>
  <w:style w:type="character" w:customStyle="1" w:styleId="emailstyle28">
    <w:name w:val="emailstyle28"/>
    <w:basedOn w:val="DefaultParagraphFont"/>
    <w:semiHidden/>
    <w:rsid w:val="00C82B37"/>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30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1520</Words>
  <Characters>8670</Characters>
  <Application>Microsoft Office Word</Application>
  <DocSecurity>0</DocSecurity>
  <Lines>72</Lines>
  <Paragraphs>20</Paragraphs>
  <ScaleCrop>false</ScaleCrop>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 Farrag</dc:creator>
  <cp:keywords/>
  <dc:description/>
  <cp:lastModifiedBy>Amr Farrag</cp:lastModifiedBy>
  <cp:revision>2</cp:revision>
  <dcterms:created xsi:type="dcterms:W3CDTF">2020-01-27T09:34:00Z</dcterms:created>
  <dcterms:modified xsi:type="dcterms:W3CDTF">2020-01-27T09:35:00Z</dcterms:modified>
</cp:coreProperties>
</file>